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sz w:val="32"/>
          <w:szCs w:val="32"/>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陕西省教育系统安全生产治本攻坚三年行动</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实施方案（2024-2026年）</w:t>
      </w:r>
    </w:p>
    <w:p>
      <w:pPr>
        <w:jc w:val="both"/>
        <w:rPr>
          <w:rFonts w:hint="eastAsia"/>
          <w:sz w:val="32"/>
          <w:szCs w:val="32"/>
        </w:rPr>
      </w:pPr>
    </w:p>
    <w:p>
      <w:pPr>
        <w:jc w:val="both"/>
        <w:rPr>
          <w:rFonts w:hint="eastAsia"/>
          <w:sz w:val="32"/>
          <w:szCs w:val="32"/>
        </w:rPr>
      </w:pP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落实习近平总书记关于安全生产重要论述和历次来陕考察重要讲话重要指示，进一步夯实全省教育系统安全生产工作基础，坚决防范遏制重特大生产安全事故，按照省委、省政府关于安全生产治本攻坚三年行动部署要求，根据教育部《教育系统安全生产治本攻坚三年行动方案（2024-2026年）》和省安委会《陕西省安全生产治本攻坚三年行动实施方案（2024-2026年）》，结合教育系统工作实际，制定本方案。</w:t>
      </w:r>
    </w:p>
    <w:p>
      <w:pPr>
        <w:ind w:firstLine="640" w:firstLineChars="200"/>
        <w:jc w:val="both"/>
        <w:rPr>
          <w:rFonts w:hint="eastAsia" w:ascii="黑体" w:hAnsi="黑体" w:eastAsia="黑体" w:cs="黑体"/>
          <w:sz w:val="32"/>
          <w:szCs w:val="32"/>
        </w:rPr>
      </w:pPr>
      <w:r>
        <w:rPr>
          <w:rFonts w:hint="eastAsia" w:ascii="黑体" w:hAnsi="黑体" w:eastAsia="黑体" w:cs="黑体"/>
          <w:sz w:val="32"/>
          <w:szCs w:val="32"/>
        </w:rPr>
        <w:t>一、工作目标</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三年治本攻坚，各级教育行政部门、学校安全理念进一步强化，消减重大安全风险、消除重大事故隐患的意愿和能力进一步提升，师生安全意识和避险逃生能力进一步增强，重大事故隐患动态清零的常态化机制进一步健全完善，教育系统安全治理体系和治理能力现代化加快推进，重大安全风险管控更加有力，教育系统安全形势保持持续稳定。</w:t>
      </w:r>
    </w:p>
    <w:p>
      <w:pPr>
        <w:ind w:firstLine="640" w:firstLineChars="200"/>
        <w:jc w:val="both"/>
        <w:rPr>
          <w:rFonts w:hint="eastAsia" w:ascii="黑体" w:hAnsi="黑体" w:eastAsia="黑体" w:cs="黑体"/>
          <w:sz w:val="32"/>
          <w:szCs w:val="32"/>
        </w:rPr>
      </w:pPr>
      <w:r>
        <w:rPr>
          <w:rFonts w:hint="eastAsia" w:ascii="黑体" w:hAnsi="黑体" w:eastAsia="黑体" w:cs="黑体"/>
          <w:sz w:val="32"/>
          <w:szCs w:val="32"/>
        </w:rPr>
        <w:t>二、主要任务</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（一）加强校园安全专家队伍建设。</w:t>
      </w:r>
      <w:r>
        <w:rPr>
          <w:rFonts w:hint="eastAsia" w:ascii="仿宋_GB2312" w:hAnsi="仿宋_GB2312" w:eastAsia="仿宋_GB2312" w:cs="仿宋_GB2312"/>
          <w:sz w:val="32"/>
          <w:szCs w:val="32"/>
        </w:rPr>
        <w:t>整合涉及校园安全各个领域的专家资源，充分发挥专家在学校消防安全、交通安全、危化品安全、公共安全、信息安全、应急处置等工作中的业务指导、分析研判、决策建议、督导检查及咨询服务作用。2024年，通过单位推荐、各地遴选等方式，组建涵盖消防、交通、危化品、特种设备、建筑结构、公共安全、应急处置等领域的全省学校校园安全专家库。鼓励引导各地教育行政部门加强与公安、住房城乡建设、应急管理、市场监管、消防等职能部门的沟通交流，充分利用专业力量，做好校园安全工作。</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（二）提升校园安全标准规范。</w:t>
      </w:r>
      <w:r>
        <w:rPr>
          <w:rFonts w:hint="eastAsia" w:ascii="仿宋_GB2312" w:hAnsi="仿宋_GB2312" w:eastAsia="仿宋_GB2312" w:cs="仿宋_GB2312"/>
          <w:sz w:val="32"/>
          <w:szCs w:val="32"/>
        </w:rPr>
        <w:t>加强顶层设计，发挥陕西省校园安全标准化委员会作用，按照《陕西省教育厅等七部门关于印发〈陕西省校园安全标准体系建设指南（2024版）〉的通知》，加快重要且急需标准制修订，强化标准实施应用和效果评估，统筹推进全省校园安全标准化工作，夯实校园安全基础保障体系。2025年前制定修订30项以上校园安全相关的国家、地方、行业标准，覆盖校园建筑、设施设备、日常管理等主要方面的体系结构，基本完成并有效运行。做好教育部《教育系统重大事故隐患排查指引（试行）》《中小学幼儿园安全指南》《高等学校安全指南》的贯彻落实，结合我省实际，进一步完善工作措施和实施方案。修订完善陕西省“平安校园”评估认定办法，调动各地各校创建积极性，发挥示范引领作用，推动建设更高水平的平安校园。健全完善以学校安全责任体系、风险预防体系、应急处置体系为核心的学校安全风险防控体系，推动校园安全工作规范化、体系化、法治化。</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（三）开展校园安全信息平台建设。</w:t>
      </w:r>
      <w:r>
        <w:rPr>
          <w:rFonts w:hint="eastAsia" w:ascii="仿宋_GB2312" w:hAnsi="仿宋_GB2312" w:eastAsia="仿宋_GB2312" w:cs="仿宋_GB2312"/>
          <w:sz w:val="32"/>
          <w:szCs w:val="32"/>
        </w:rPr>
        <w:t>依托陕西省校园安全防控管理平台，积极推动校园安全信息化建设。2024年，逐步建立全省学校安全网络报送制度，组织各地各校定期做好校园安全信息上报，加强安全信息汇总、分析，及时研判安全形势及暴露的突出问题，提出加强安全防范的措施建议，为相关政策制定提供支撑。2026年底前，全面搭建教育安全信息传播平台和校园安全信息管理平台，加强安全工作学习研究、沟通交流和信息上报。</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（四）提升校园安全管理能力水平。</w:t>
      </w:r>
      <w:r>
        <w:rPr>
          <w:rFonts w:hint="eastAsia" w:ascii="仿宋_GB2312" w:hAnsi="仿宋_GB2312" w:eastAsia="仿宋_GB2312" w:cs="仿宋_GB2312"/>
          <w:sz w:val="32"/>
          <w:szCs w:val="32"/>
        </w:rPr>
        <w:t>加强教育行政部门、学校管理者、核心岗位员工分层、分级、分领域的安全培训，提升安全管理和实际操作能力。2026年底前，省教育厅组织各地教育行政部门、省属高校、厅属中等职业学校和直属有关单位分管安全工作同志开展一轮全员培训，各级教育行政部门组织本区域内中小学、幼儿园主要负责同志、分管负责同志、安全工作处（科、股）长轮训一遍，各学校组织本校负责消防、基建工程、实验室、实习实训等工作人员轮训一遍，注重安全工作政策文件解读，讲解日常操作规范、应急处置流程等，切实提高培训质效。</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（五）深化校园安全隐患排查整治。</w:t>
      </w:r>
      <w:r>
        <w:rPr>
          <w:rFonts w:hint="eastAsia" w:ascii="仿宋_GB2312" w:hAnsi="仿宋_GB2312" w:eastAsia="仿宋_GB2312" w:cs="仿宋_GB2312"/>
          <w:sz w:val="32"/>
          <w:szCs w:val="32"/>
        </w:rPr>
        <w:t>会同住建、消防等部门联合开展排查化解高校校内建筑消防安全隐患专项行动，将高校所有在用建筑统一纳入消防监管，实现隐患动态清零，各市、县（区）参照省级做法，面向中小学幼儿园开展专项行动。督促学校层层夯实安全责任，把安全管理职责进一步明确到岗、到人，学校主要负责人要按照相关要求落实第一责任人责任，定期组织开展校园安全自查，对标对表整治重点问题隐患，不断提高排查整改质量。建立常态化安全调研、检查制度，综合运用各校自查、交叉互查、联合抽查、第三方检查等形式，聚焦重点领域和关键部位全面开展事故隐患排查整治。联合有关部门紧盯重点领域，对学生宿舍、食堂、图书馆、体育馆、实验室、煤气燃气设施、供电设施、储藏室、危险品仓库、实习实训基地等关键部位，“起底式”深入排查整改消防、燃气、坍塌、踩踏、物体打击伤害等安全隐患，对于发现的问题隐患进行督查督办，跟踪整改，确保安全隐患早发现、早排查、早解决。会同住房城乡建设等部门开展校园工程质量安全治理，既要落实学校建设首要责任，又要压实参建各方责任，严格依法查处在校园工程建设中出现质量安全问题导致严重后果的建设、勘察、设计、施工、监理单位责任。严格校车和校园周边安全管理，指导学校加强校内车辆和人员安全管理，配合公安交管部门防范和治理接送学生车辆超员、非法载人等突出问题，加强学校周边道路交通安全整治，优化校内交通组织和秩序管理。</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（六）进一步提升师生安全素质。</w:t>
      </w:r>
      <w:r>
        <w:rPr>
          <w:rFonts w:hint="eastAsia" w:ascii="仿宋_GB2312" w:hAnsi="仿宋_GB2312" w:eastAsia="仿宋_GB2312" w:cs="仿宋_GB2312"/>
          <w:sz w:val="32"/>
          <w:szCs w:val="32"/>
        </w:rPr>
        <w:t>聚焦溺水、火灾、交通事故、自然灾害等寒暑假期易发多发安全事故，推动各地各校在寒暑假、小长假等重点时段放假离校前集中开展面向全体师生的安全专项教育和警示活动。持续开展安全生产月、消防宣传月、安全宣传咨询日等活动，做好校园安全事故案例警示，引导广大师生树牢校园安全观，推动安全理念入脑入心。通过网站、公众号等载体，持续宣传教育安全领域的政策法规、典型案例、工作动态、技术服务、公益课程等，加强安全有关政策文件学习、经验交流、提高安全工作水平。通过开设专题安全教育课、开展技能培训、发放安全知识手册、致家长一封信等方式，加强师生安全宣传教育，细化规范师生应急处置方式方法，常态化开展应急演练，提升师生安全意识和自救互救能力。</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（七）持续加强安全相关学科专业建设。</w:t>
      </w:r>
      <w:r>
        <w:rPr>
          <w:rFonts w:hint="eastAsia" w:ascii="仿宋_GB2312" w:hAnsi="仿宋_GB2312" w:eastAsia="仿宋_GB2312" w:cs="仿宋_GB2312"/>
          <w:sz w:val="32"/>
          <w:szCs w:val="32"/>
        </w:rPr>
        <w:t>进一步加强安全生产相关学科专业建设，完善安全科学与工程等学科的学位授权点布局，支持和引导高校自主设置安全生产相关学科，加强高层次人才培养。优化安全科学与工程相关专业结构，进一步完善安全相关学科专业体系，支持和鼓励有条件的高校、职业院校根据经济社会发展需要和行业、产业安全方面新需求，增加安全科学与工程等相关专业设置，稳步扩大安全相关专业布点数，加大安全生产相关人才培养制度。进一步加强安全科学与工程相关专业内涵建设，在现有专业结构基础上，不断丰富安全科学与工程相关专业教学资源，支持安全相关专业教材参加职业教育国家规划教材、优质课程资源遴选，面向在校学生、社会学习者开放，不断扩大优质教育覆盖面。拓展安全知识教育覆盖范围，指导各地开好关于安全教育等选修课程、拓展课程或专题讲座（活动），并将有关知识融入到专业教学和社会实践中。</w:t>
      </w:r>
    </w:p>
    <w:p>
      <w:pPr>
        <w:ind w:firstLine="640" w:firstLineChars="200"/>
        <w:jc w:val="both"/>
        <w:rPr>
          <w:rFonts w:hint="eastAsia" w:ascii="黑体" w:hAnsi="黑体" w:eastAsia="黑体" w:cs="黑体"/>
          <w:sz w:val="32"/>
          <w:szCs w:val="32"/>
        </w:rPr>
      </w:pPr>
      <w:r>
        <w:rPr>
          <w:rFonts w:hint="eastAsia" w:ascii="黑体" w:hAnsi="黑体" w:eastAsia="黑体" w:cs="黑体"/>
          <w:sz w:val="32"/>
          <w:szCs w:val="32"/>
        </w:rPr>
        <w:t>三、保障措施</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（一）加强组织领导。</w:t>
      </w:r>
      <w:r>
        <w:rPr>
          <w:rFonts w:hint="eastAsia" w:ascii="仿宋_GB2312" w:hAnsi="仿宋_GB2312" w:eastAsia="仿宋_GB2312" w:cs="仿宋_GB2312"/>
          <w:sz w:val="32"/>
          <w:szCs w:val="32"/>
        </w:rPr>
        <w:t>各地教育行政部门、各高校要高度重视安全生产治本攻坚三年行动，主要负责同志要亲自动员部署，定期听取行动进展情况汇报，分管负责同志具体抓好落实，及时研究解决安全突出问题，并经常性开展督导调研。要推动落实好各级各类学校安全工作主体责任，明确任务和责任人，确保层层有人抓、事事有人管。</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（二）加大安全投入。</w:t>
      </w:r>
      <w:r>
        <w:rPr>
          <w:rFonts w:hint="eastAsia" w:ascii="仿宋_GB2312" w:hAnsi="仿宋_GB2312" w:eastAsia="仿宋_GB2312" w:cs="仿宋_GB2312"/>
          <w:sz w:val="32"/>
          <w:szCs w:val="32"/>
        </w:rPr>
        <w:t>各地教育行政部门、各高校要强化安全工作投入，科学合理安排预算，聚焦校园安全风险隐患加强统筹规划、落实整治资金，切实做好安全生产治本攻坚三年行动各项任务措施的支撑保障，提高“人防、物防、技防、工程防、管理防”能力，不断提升本质安全水平。</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（三）强化激励问责。</w:t>
      </w:r>
      <w:r>
        <w:rPr>
          <w:rFonts w:hint="eastAsia" w:ascii="仿宋_GB2312" w:hAnsi="仿宋_GB2312" w:eastAsia="仿宋_GB2312" w:cs="仿宋_GB2312"/>
          <w:sz w:val="32"/>
          <w:szCs w:val="32"/>
        </w:rPr>
        <w:t>各地教育行政部门、各高校要强化正向激励，对治本攻坚工作中成绩显著的单位和个人进行通报表扬，发挥典型示范引领作用，以点带面推动校园安全整体工作水平提升。要严格问责问效，对重大事故隐患排查整治不力等突出问题进行约谈、通报、督办等，强化责任追究，推动安全生产治本攻坚三年行动落实落地。</w:t>
      </w:r>
      <w:bookmarkStart w:id="0" w:name="_GoBack"/>
      <w:bookmarkEnd w:id="0"/>
    </w:p>
    <w:sectPr>
      <w:footerReference r:id="rId5" w:type="default"/>
      <w:pgSz w:w="11906" w:h="16839"/>
      <w:pgMar w:top="2098" w:right="1474" w:bottom="1984" w:left="1587" w:header="0" w:footer="161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altName w:val="微软雅黑"/>
    <w:panose1 w:val="02010609060101010101"/>
    <w:charset w:val="86"/>
    <w:family w:val="auto"/>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altName w:val="微软雅黑"/>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645"/>
      <w:rPr>
        <w:rFonts w:ascii="宋体" w:hAnsi="宋体" w:eastAsia="宋体" w:cs="宋体"/>
        <w:sz w:val="28"/>
        <w:szCs w:val="28"/>
      </w:rPr>
    </w:pPr>
    <w:r>
      <w:rPr>
        <w:rFonts w:ascii="宋体" w:hAnsi="宋体" w:eastAsia="宋体" w:cs="宋体"/>
        <w:spacing w:val="-3"/>
        <w:sz w:val="28"/>
        <w:szCs w:val="2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BA27809"/>
    <w:rsid w:val="767C27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2042</Words>
  <Characters>2085</Characters>
  <TotalTime>9</TotalTime>
  <ScaleCrop>false</ScaleCrop>
  <LinksUpToDate>false</LinksUpToDate>
  <CharactersWithSpaces>2169</CharactersWithSpaces>
  <Application>WPS Office_11.8.2.10552_F1E327BC-269C-435d-A152-05C5408002CA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2025-02-25T01:11:00Z</dcterms:created>
  <dc:creator>Kingsoft-PDF</dc:creator>
  <cp:lastModifiedBy>ankang</cp:lastModifiedBy>
  <dcterms:modified xsi:type="dcterms:W3CDTF">2025-02-24T17:27:49Z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2025-02-24T17:11:01Z</vt:filetime>
  </property>
  <property fmtid="{D5CDD505-2E9C-101B-9397-08002B2CF9AE}" pid="4" name="UsrData">
    <vt:lpwstr>67bc37a30959d0001f6853b1wl</vt:lpwstr>
  </property>
  <property fmtid="{D5CDD505-2E9C-101B-9397-08002B2CF9AE}" pid="5" name="KSOTemplateDocerSaveRecord">
    <vt:lpwstr>eyJoZGlkIjoiMjg5NzQ3YjExM2FlN2EyMmQ0MWE1ZWZiMDkzYzUxM2QiLCJ1c2VySWQiOiI0NjU4NjUyNzMifQ==</vt:lpwstr>
  </property>
  <property fmtid="{D5CDD505-2E9C-101B-9397-08002B2CF9AE}" pid="6" name="KSOProductBuildVer">
    <vt:lpwstr>2052-11.8.2.10552</vt:lpwstr>
  </property>
  <property fmtid="{D5CDD505-2E9C-101B-9397-08002B2CF9AE}" pid="7" name="ICV">
    <vt:lpwstr>C369D71F032846E49EF0EDE67654B434_12</vt:lpwstr>
  </property>
</Properties>
</file>