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教育部办公厅关于加强中小学实验室安全工作的通知</w:t>
      </w:r>
    </w:p>
    <w:p>
      <w:pPr>
        <w:jc w:val="both"/>
        <w:rPr>
          <w:rFonts w:hint="eastAsia"/>
        </w:rPr>
      </w:pPr>
    </w:p>
    <w:p>
      <w:pPr>
        <w:spacing w:line="360"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各省、自治区、直辖市教育厅(教委),新疆生产建设兵团教育局，部属师范大学：</w:t>
      </w:r>
    </w:p>
    <w:p>
      <w:pPr>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全面贯彻党的二十大和二十届二中、三中全会精神，深入落实党中央、国务院关于安全生产工作的系列重要部署，筑牢普通中小学实验室(以下简称实验室)安全防线，有效防范和消除安全事故隐患，切实保障师生的人身安全和校园稳定，保证实验教学规范开展，提高育人质量，现就加强实验室安全工作通知如下。</w:t>
      </w:r>
    </w:p>
    <w:p>
      <w:pPr>
        <w:spacing w:line="360" w:lineRule="auto"/>
        <w:ind w:firstLine="482" w:firstLineChars="20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一、提高认识，高度重视实验室安全</w:t>
      </w:r>
    </w:p>
    <w:p>
      <w:pPr>
        <w:spacing w:line="360" w:lineRule="auto"/>
        <w:ind w:firstLine="482"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1.深刻认识实验室安全的重要意义。</w:t>
      </w:r>
      <w:r>
        <w:rPr>
          <w:rFonts w:hint="eastAsia" w:asciiTheme="minorEastAsia" w:hAnsiTheme="minorEastAsia" w:eastAsiaTheme="minorEastAsia" w:cstheme="minorEastAsia"/>
          <w:sz w:val="24"/>
          <w:szCs w:val="24"/>
        </w:rPr>
        <w:t>实验室安全是实验教学的基本保障，是学校安全工作的重要内容。各地教育行政部门和学校要深刻认识实验室安全工作的重要性，牢固树立安全发展理念，强化安全红线意识，坚持“安全第一、预防为主、综合治理”的方针，严格落实国家相关法律法规、规章和标准的要求，科学认识和把握实验室安全风险的规律性和复杂性，有效防范和遏制实验室安全事故的发生，全面提升实验室安全治理体系和治理能力现代化水平。</w:t>
      </w:r>
    </w:p>
    <w:p>
      <w:pPr>
        <w:spacing w:line="360" w:lineRule="auto"/>
        <w:ind w:firstLine="482"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2.坚持实验教学与安全管理同步推进。</w:t>
      </w:r>
      <w:r>
        <w:rPr>
          <w:rFonts w:hint="eastAsia" w:asciiTheme="minorEastAsia" w:hAnsiTheme="minorEastAsia" w:eastAsiaTheme="minorEastAsia" w:cstheme="minorEastAsia"/>
          <w:sz w:val="24"/>
          <w:szCs w:val="24"/>
        </w:rPr>
        <w:t>要全面落实课程方案和课程标准要求，突出实践育人，强调知行合一，倡导做中学、用中学、创中学，加强实验教学，不能因担心出安全问题而不做或少做实验。</w:t>
      </w:r>
    </w:p>
    <w:p>
      <w:pPr>
        <w:spacing w:line="360" w:lineRule="auto"/>
        <w:ind w:firstLine="482" w:firstLineChars="20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二、压实责任，健全安全管理制度</w:t>
      </w:r>
    </w:p>
    <w:p>
      <w:pPr>
        <w:spacing w:line="360" w:lineRule="auto"/>
        <w:ind w:firstLine="482"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3.明确实验室安全管理责任。</w:t>
      </w:r>
      <w:r>
        <w:rPr>
          <w:rFonts w:hint="eastAsia" w:asciiTheme="minorEastAsia" w:hAnsiTheme="minorEastAsia" w:eastAsiaTheme="minorEastAsia" w:cstheme="minorEastAsia"/>
          <w:sz w:val="24"/>
          <w:szCs w:val="24"/>
        </w:rPr>
        <w:t>各地教育行政部门和中小学校要坚持党对安全生产工作的领导，严格落实“管行业必须管安全、管业务必须管安全、管生产经营必须管安全”的要求，按照“谁使用、谁负责，谁主管、谁负责”的原则，完善实验室管理责任制，明确管理机构、人员和职责，建立健全实验室安全责任体系，学校要切实履行实验室安全管理主体责任。</w:t>
      </w:r>
    </w:p>
    <w:p>
      <w:pPr>
        <w:spacing w:line="360" w:lineRule="auto"/>
        <w:ind w:firstLine="482"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4.健全实验室安全管理制度。</w:t>
      </w:r>
      <w:r>
        <w:rPr>
          <w:rFonts w:hint="eastAsia" w:asciiTheme="minorEastAsia" w:hAnsiTheme="minorEastAsia" w:eastAsiaTheme="minorEastAsia" w:cstheme="minorEastAsia"/>
          <w:sz w:val="24"/>
          <w:szCs w:val="24"/>
        </w:rPr>
        <w:t>各地教育行政部门和中小学校要建立完善实验室安全责任、风险分级管控、应急处置、定期检查整改、责任追究等制度，确保中小学实验室安全管理工作全要素、全流程、全人员覆盖，推动安全工作向事前预防转型。鼓励各地因地制宜，会同公安、应急、环保等部门制定切实可行的危险化学品管理规范，共同破解实验室安全管理难题。</w:t>
      </w:r>
    </w:p>
    <w:p>
      <w:pPr>
        <w:spacing w:line="360" w:lineRule="auto"/>
        <w:ind w:firstLine="482" w:firstLineChars="20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三、以人为本，不断提升师生实验安全素养</w:t>
      </w:r>
    </w:p>
    <w:p>
      <w:pPr>
        <w:spacing w:line="360" w:lineRule="auto"/>
        <w:ind w:firstLine="482"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5.纳入学校安全教育的核心内容。</w:t>
      </w:r>
      <w:r>
        <w:rPr>
          <w:rFonts w:hint="eastAsia" w:asciiTheme="minorEastAsia" w:hAnsiTheme="minorEastAsia" w:eastAsiaTheme="minorEastAsia" w:cstheme="minorEastAsia"/>
          <w:sz w:val="24"/>
          <w:szCs w:val="24"/>
        </w:rPr>
        <w:t>实验室安全是生命安全与健康重大主题教育的重要部分，也是课程标准中突出强调的内容，各地各校要积极依托科学类课程实施开展实验室安全教育。积极利用安全生产月、全国中小学生安全教育周(日)等契机，开展内容丰富的安全宣传教育活动，广泛提升师生防范和化解安全风险的能力。</w:t>
      </w:r>
    </w:p>
    <w:p>
      <w:pPr>
        <w:spacing w:line="360" w:lineRule="auto"/>
        <w:ind w:firstLine="482"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6.切实提升教师实验安全能力。</w:t>
      </w:r>
      <w:r>
        <w:rPr>
          <w:rFonts w:hint="eastAsia" w:asciiTheme="minorEastAsia" w:hAnsiTheme="minorEastAsia" w:eastAsiaTheme="minorEastAsia" w:cstheme="minorEastAsia"/>
          <w:sz w:val="24"/>
          <w:szCs w:val="24"/>
        </w:rPr>
        <w:t>师范院校在中小学科学类教师培养中，要强化实验安全意识和能力。各地每年要对实验室管理人员至少进行一次安全培训；要把实验技术规范、安全防护、应急处理等知识和技能纳入承担实验教学任务的教师、实验员岗前和职中培训考核项目，积极开展实验安全相关的教研和展示交流活动。</w:t>
      </w:r>
    </w:p>
    <w:p>
      <w:pPr>
        <w:spacing w:line="360" w:lineRule="auto"/>
        <w:ind w:firstLine="482"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7.有效培养学生实验安全素养。</w:t>
      </w:r>
      <w:r>
        <w:rPr>
          <w:rFonts w:hint="eastAsia" w:asciiTheme="minorEastAsia" w:hAnsiTheme="minorEastAsia" w:eastAsiaTheme="minorEastAsia" w:cstheme="minorEastAsia"/>
          <w:sz w:val="24"/>
          <w:szCs w:val="24"/>
        </w:rPr>
        <w:t>各校必须落实学生进实验室前的安全教育，要充分利用学科实验与实践课进行安全知识与技能教育，积极创新安全教育形式，开展安全第一课、安全演练等专题活动，帮助学生掌握必要的应急处理方法和自救措施，提高安全意识和安全防护能力。</w:t>
      </w:r>
    </w:p>
    <w:p>
      <w:pPr>
        <w:spacing w:line="360" w:lineRule="auto"/>
        <w:ind w:firstLine="482" w:firstLineChars="20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四、夯实基础，提升安全管理条件</w:t>
      </w:r>
    </w:p>
    <w:p>
      <w:pPr>
        <w:spacing w:line="360" w:lineRule="auto"/>
        <w:ind w:firstLine="482"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8.保障实验安全基本条件</w:t>
      </w:r>
      <w:r>
        <w:rPr>
          <w:rFonts w:hint="eastAsia" w:asciiTheme="minorEastAsia" w:hAnsiTheme="minorEastAsia" w:eastAsiaTheme="minorEastAsia" w:cstheme="minorEastAsia"/>
          <w:sz w:val="24"/>
          <w:szCs w:val="24"/>
        </w:rPr>
        <w:t>。各地各校要严格按照相关标准配置实验教学装备与安全设施设备，配足配齐安全防护与急救设备设施。要严把实验教学装备质量关，实验教学装备应具有相关资质部门检测或合格认证，加强验收管理，防止不合格的实验器材进入学校。要及时更新、维护各类实验仪器与设备，避免因质量问题、设备故障以及设备老化等问题形成的安全风险。实验室、准备室、药品室、仪器室等场所中安全警示标识要清晰、醒目。</w:t>
      </w:r>
    </w:p>
    <w:p>
      <w:pPr>
        <w:spacing w:line="360" w:lineRule="auto"/>
        <w:ind w:firstLine="482"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9.科技赋能实验室安全管理。</w:t>
      </w:r>
      <w:r>
        <w:rPr>
          <w:rFonts w:hint="eastAsia" w:asciiTheme="minorEastAsia" w:hAnsiTheme="minorEastAsia" w:eastAsiaTheme="minorEastAsia" w:cstheme="minorEastAsia"/>
          <w:sz w:val="24"/>
          <w:szCs w:val="24"/>
        </w:rPr>
        <w:t>充分利用数字技术助力实验室管理现代化，做到安全问题与事故隐患早排查、早发现、早预警、早处置。鼓励师生积极探索改进新型实验技术，用绿色环保、低风险的实验方案与器材替代具有较大危险因素的实验方案与器材，用微型设备与低剂量实验减少实验排放与污染。</w:t>
      </w:r>
    </w:p>
    <w:p>
      <w:pPr>
        <w:spacing w:line="360" w:lineRule="auto"/>
        <w:ind w:firstLine="482" w:firstLineChars="20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五、强化保障，确保安全工作落实到位</w:t>
      </w:r>
    </w:p>
    <w:p>
      <w:pPr>
        <w:spacing w:line="360" w:lineRule="auto"/>
        <w:ind w:firstLine="482"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10.建立自查自纠整改机制。</w:t>
      </w:r>
      <w:r>
        <w:rPr>
          <w:rFonts w:hint="eastAsia" w:asciiTheme="minorEastAsia" w:hAnsiTheme="minorEastAsia" w:eastAsiaTheme="minorEastAsia" w:cstheme="minorEastAsia"/>
          <w:sz w:val="24"/>
          <w:szCs w:val="24"/>
        </w:rPr>
        <w:t>各地各校要在每年秋季学期开学前开展实验室安全自查自纠与整改工作，自查内容应覆盖安全责任体系、制度建设、实验场室、基础设施、安全与急救设施、仪器设备安全以及实验教学安全等(见附件)。</w:t>
      </w:r>
    </w:p>
    <w:p>
      <w:pPr>
        <w:spacing w:line="360" w:lineRule="auto"/>
        <w:ind w:firstLine="482"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11.将实验室安全纳入教育督导。</w:t>
      </w:r>
      <w:r>
        <w:rPr>
          <w:rFonts w:hint="eastAsia" w:asciiTheme="minorEastAsia" w:hAnsiTheme="minorEastAsia" w:eastAsiaTheme="minorEastAsia" w:cstheme="minorEastAsia"/>
          <w:sz w:val="24"/>
          <w:szCs w:val="24"/>
        </w:rPr>
        <w:t>各地要将实验室安全管理作为教育督导和日常监管的重要内容，将实验室安全纳入年度考核范围，对安全管理工作作出突出贡献的部门及个人予以适当激励。</w:t>
      </w:r>
    </w:p>
    <w:p>
      <w:pPr>
        <w:spacing w:line="360" w:lineRule="auto"/>
        <w:ind w:firstLine="482"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12.保障实验室安全经费投入。</w:t>
      </w:r>
      <w:r>
        <w:rPr>
          <w:rFonts w:hint="eastAsia" w:asciiTheme="minorEastAsia" w:hAnsiTheme="minorEastAsia" w:eastAsiaTheme="minorEastAsia" w:cstheme="minorEastAsia"/>
          <w:sz w:val="24"/>
          <w:szCs w:val="24"/>
        </w:rPr>
        <w:t>各地各校要多渠道筹措经费，支持各地用于实验室安全基础设施维护更新、人员培训、危废处理等，确保安全管理制度能够切实有效执行。</w:t>
      </w:r>
    </w:p>
    <w:p>
      <w:pPr>
        <w:spacing w:line="360" w:lineRule="auto"/>
        <w:ind w:firstLine="480" w:firstLineChars="200"/>
        <w:jc w:val="both"/>
        <w:rPr>
          <w:rFonts w:hint="eastAsia" w:asciiTheme="minorEastAsia" w:hAnsiTheme="minorEastAsia" w:eastAsiaTheme="minorEastAsia" w:cstheme="minorEastAsia"/>
          <w:sz w:val="24"/>
          <w:szCs w:val="24"/>
        </w:rPr>
      </w:pPr>
      <w:bookmarkStart w:id="0" w:name="_GoBack"/>
      <w:bookmarkEnd w:id="0"/>
    </w:p>
    <w:p>
      <w:pPr>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附件：中小学</w:t>
      </w:r>
      <w:r>
        <w:rPr>
          <w:rFonts w:hint="eastAsia" w:asciiTheme="minorEastAsia" w:hAnsiTheme="minorEastAsia" w:eastAsiaTheme="minorEastAsia" w:cstheme="minorEastAsia"/>
          <w:sz w:val="24"/>
          <w:szCs w:val="24"/>
        </w:rPr>
        <w:t>实验室安全检查项目表（20</w:t>
      </w:r>
      <w:r>
        <w:rPr>
          <w:rFonts w:hint="eastAsia" w:asciiTheme="minorEastAsia" w:hAnsiTheme="minorEastAsia" w:eastAsiaTheme="minorEastAsia" w:cstheme="minorEastAsia"/>
          <w:sz w:val="24"/>
          <w:szCs w:val="24"/>
          <w:lang w:val="en-US" w:eastAsia="zh-CN"/>
        </w:rPr>
        <w:t>24</w:t>
      </w:r>
      <w:r>
        <w:rPr>
          <w:rFonts w:hint="eastAsia" w:asciiTheme="minorEastAsia" w:hAnsiTheme="minorEastAsia" w:eastAsiaTheme="minorEastAsia" w:cstheme="minorEastAsia"/>
          <w:sz w:val="24"/>
          <w:szCs w:val="24"/>
        </w:rPr>
        <w:t>）</w:t>
      </w:r>
    </w:p>
    <w:p>
      <w:pPr>
        <w:spacing w:line="360" w:lineRule="auto"/>
        <w:jc w:val="both"/>
        <w:rPr>
          <w:rFonts w:hint="eastAsia" w:asciiTheme="minorEastAsia" w:hAnsiTheme="minorEastAsia" w:eastAsiaTheme="minorEastAsia" w:cstheme="minorEastAsia"/>
          <w:sz w:val="24"/>
          <w:szCs w:val="24"/>
        </w:rPr>
      </w:pPr>
    </w:p>
    <w:p>
      <w:pPr>
        <w:spacing w:line="360" w:lineRule="auto"/>
        <w:jc w:val="both"/>
        <w:rPr>
          <w:rFonts w:hint="eastAsia" w:asciiTheme="minorEastAsia" w:hAnsiTheme="minorEastAsia" w:eastAsiaTheme="minorEastAsia" w:cstheme="minorEastAsia"/>
          <w:sz w:val="24"/>
          <w:szCs w:val="24"/>
        </w:rPr>
      </w:pPr>
    </w:p>
    <w:p>
      <w:pPr>
        <w:spacing w:line="360" w:lineRule="auto"/>
        <w:ind w:firstLine="6000" w:firstLineChars="25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教育部办公厅</w:t>
      </w:r>
    </w:p>
    <w:p>
      <w:pPr>
        <w:spacing w:line="360" w:lineRule="auto"/>
        <w:ind w:firstLine="6000" w:firstLineChars="25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2024年9月2日</w:t>
      </w:r>
    </w:p>
    <w:p>
      <w:pPr>
        <w:spacing w:line="360" w:lineRule="auto"/>
        <w:ind w:firstLine="5520" w:firstLineChars="2300"/>
        <w:jc w:val="both"/>
        <w:rPr>
          <w:rFonts w:hint="eastAsia" w:asciiTheme="minorEastAsia" w:hAnsiTheme="minorEastAsia" w:eastAsiaTheme="minorEastAsia" w:cstheme="minorEastAsia"/>
          <w:sz w:val="24"/>
          <w:szCs w:val="24"/>
        </w:rPr>
        <w:sectPr>
          <w:footerReference r:id="rId5" w:type="default"/>
          <w:pgSz w:w="11920" w:h="16990"/>
          <w:pgMar w:top="2098" w:right="1474" w:bottom="1984" w:left="1587" w:header="0" w:footer="0" w:gutter="0"/>
          <w:cols w:space="720" w:num="1"/>
        </w:sectPr>
      </w:pPr>
    </w:p>
    <w:p>
      <w:pPr>
        <w:adjustRightInd w:val="0"/>
        <w:snapToGrid w:val="0"/>
        <w:spacing w:after="156" w:afterLines="50" w:line="500" w:lineRule="exact"/>
        <w:rPr>
          <w:rFonts w:eastAsia="方正小标宋简体"/>
          <w:b w:val="0"/>
          <w:bCs/>
          <w:sz w:val="32"/>
          <w:szCs w:val="32"/>
        </w:rPr>
      </w:pPr>
      <w:r>
        <w:rPr>
          <w:rFonts w:hint="eastAsia" w:ascii="黑体" w:hAnsi="黑体" w:eastAsia="黑体"/>
          <w:b w:val="0"/>
          <w:bCs/>
          <w:sz w:val="32"/>
          <w:szCs w:val="32"/>
        </w:rPr>
        <w:t>附件</w:t>
      </w:r>
    </w:p>
    <w:p>
      <w:pPr>
        <w:keepNext w:val="0"/>
        <w:keepLines w:val="0"/>
        <w:pageBreakBefore w:val="0"/>
        <w:widowControl w:val="0"/>
        <w:kinsoku/>
        <w:wordWrap/>
        <w:overflowPunct/>
        <w:topLinePunct w:val="0"/>
        <w:autoSpaceDE/>
        <w:autoSpaceDN/>
        <w:bidi w:val="0"/>
        <w:adjustRightInd w:val="0"/>
        <w:snapToGrid w:val="0"/>
        <w:spacing w:before="313" w:beforeLines="100" w:after="313" w:afterLines="100" w:line="500" w:lineRule="exact"/>
        <w:jc w:val="center"/>
        <w:textAlignment w:val="auto"/>
        <w:rPr>
          <w:rFonts w:eastAsia="方正小标宋简体"/>
          <w:sz w:val="44"/>
          <w:szCs w:val="44"/>
        </w:rPr>
      </w:pPr>
      <w:r>
        <w:rPr>
          <w:rFonts w:hint="eastAsia" w:eastAsia="方正小标宋简体"/>
          <w:b w:val="0"/>
          <w:bCs/>
          <w:sz w:val="44"/>
          <w:szCs w:val="44"/>
          <w:lang w:eastAsia="zh-CN"/>
        </w:rPr>
        <w:t>中小学</w:t>
      </w:r>
      <w:r>
        <w:rPr>
          <w:rFonts w:eastAsia="方正小标宋简体"/>
          <w:b w:val="0"/>
          <w:bCs/>
          <w:sz w:val="44"/>
          <w:szCs w:val="44"/>
        </w:rPr>
        <w:t>实验室安全检查项目</w:t>
      </w:r>
      <w:r>
        <w:rPr>
          <w:rFonts w:hint="eastAsia" w:eastAsia="方正小标宋简体"/>
          <w:b w:val="0"/>
          <w:bCs/>
          <w:sz w:val="44"/>
          <w:szCs w:val="44"/>
        </w:rPr>
        <w:t>表</w:t>
      </w:r>
      <w:r>
        <w:rPr>
          <w:rFonts w:eastAsia="方正小标宋简体"/>
          <w:b w:val="0"/>
          <w:bCs/>
          <w:sz w:val="44"/>
          <w:szCs w:val="44"/>
        </w:rPr>
        <w:t>（20</w:t>
      </w:r>
      <w:r>
        <w:rPr>
          <w:rFonts w:hint="eastAsia" w:eastAsia="方正小标宋简体"/>
          <w:b w:val="0"/>
          <w:bCs/>
          <w:sz w:val="44"/>
          <w:szCs w:val="44"/>
          <w:lang w:val="en-US" w:eastAsia="zh-CN"/>
        </w:rPr>
        <w:t>24</w:t>
      </w:r>
      <w:r>
        <w:rPr>
          <w:rFonts w:eastAsia="方正小标宋简体"/>
          <w:b w:val="0"/>
          <w:bCs/>
          <w:sz w:val="44"/>
          <w:szCs w:val="44"/>
        </w:rPr>
        <w:t>）</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208"/>
        <w:gridCol w:w="5543"/>
        <w:gridCol w:w="5543"/>
      </w:tblGrid>
      <w:tr>
        <w:tblPrEx>
          <w:tblCellMar>
            <w:top w:w="0" w:type="dxa"/>
            <w:left w:w="108" w:type="dxa"/>
            <w:bottom w:w="0" w:type="dxa"/>
            <w:right w:w="108" w:type="dxa"/>
          </w:tblCellMar>
        </w:tblPrEx>
        <w:trPr>
          <w:trHeight w:val="643" w:hRule="atLeast"/>
          <w:tblHeader/>
          <w:jc w:val="center"/>
        </w:trPr>
        <w:tc>
          <w:tcPr>
            <w:tcW w:w="583" w:type="pct"/>
            <w:tcMar>
              <w:left w:w="45" w:type="dxa"/>
              <w:right w:w="45" w:type="dxa"/>
            </w:tcMar>
            <w:vAlign w:val="center"/>
          </w:tcPr>
          <w:p>
            <w:pPr>
              <w:spacing w:line="300" w:lineRule="exact"/>
              <w:jc w:val="center"/>
              <w:rPr>
                <w:rFonts w:hint="eastAsia" w:eastAsia="黑体"/>
                <w:b/>
                <w:bCs/>
                <w:kern w:val="0"/>
                <w:szCs w:val="21"/>
                <w:lang w:eastAsia="zh-CN"/>
              </w:rPr>
            </w:pPr>
            <w:r>
              <w:rPr>
                <w:rFonts w:hint="eastAsia" w:eastAsia="黑体"/>
                <w:b/>
                <w:bCs/>
                <w:kern w:val="0"/>
                <w:szCs w:val="21"/>
                <w:lang w:val="en-US" w:eastAsia="zh-CN"/>
              </w:rPr>
              <w:t>维度</w:t>
            </w:r>
          </w:p>
        </w:tc>
        <w:tc>
          <w:tcPr>
            <w:tcW w:w="434" w:type="pct"/>
            <w:tcMar>
              <w:left w:w="45" w:type="dxa"/>
              <w:right w:w="45" w:type="dxa"/>
            </w:tcMar>
            <w:vAlign w:val="center"/>
          </w:tcPr>
          <w:p>
            <w:pPr>
              <w:spacing w:line="300" w:lineRule="exact"/>
              <w:jc w:val="center"/>
              <w:rPr>
                <w:rFonts w:eastAsia="黑体"/>
                <w:b/>
                <w:bCs/>
                <w:kern w:val="0"/>
                <w:szCs w:val="21"/>
              </w:rPr>
            </w:pPr>
            <w:r>
              <w:rPr>
                <w:rFonts w:eastAsia="黑体"/>
                <w:b/>
                <w:bCs/>
                <w:kern w:val="0"/>
                <w:szCs w:val="21"/>
              </w:rPr>
              <w:t>检查</w:t>
            </w:r>
            <w:r>
              <w:rPr>
                <w:rFonts w:hint="eastAsia" w:eastAsia="黑体"/>
                <w:b/>
                <w:bCs/>
                <w:kern w:val="0"/>
                <w:szCs w:val="21"/>
              </w:rPr>
              <w:t>项目</w:t>
            </w:r>
          </w:p>
        </w:tc>
        <w:tc>
          <w:tcPr>
            <w:tcW w:w="1991" w:type="pct"/>
            <w:tcBorders>
              <w:right w:val="single" w:color="000000" w:sz="4" w:space="0"/>
            </w:tcBorders>
            <w:tcMar>
              <w:left w:w="45" w:type="dxa"/>
              <w:right w:w="45" w:type="dxa"/>
            </w:tcMar>
            <w:vAlign w:val="center"/>
          </w:tcPr>
          <w:p>
            <w:pPr>
              <w:spacing w:line="300" w:lineRule="exact"/>
              <w:jc w:val="center"/>
              <w:rPr>
                <w:rFonts w:eastAsia="黑体"/>
                <w:b/>
                <w:bCs/>
                <w:kern w:val="0"/>
                <w:szCs w:val="21"/>
              </w:rPr>
            </w:pPr>
            <w:r>
              <w:rPr>
                <w:rFonts w:hint="eastAsia" w:eastAsia="黑体"/>
                <w:b/>
                <w:bCs/>
                <w:kern w:val="0"/>
                <w:szCs w:val="21"/>
              </w:rPr>
              <w:t>检查要点</w:t>
            </w:r>
          </w:p>
        </w:tc>
        <w:tc>
          <w:tcPr>
            <w:tcW w:w="1991" w:type="pct"/>
            <w:tcBorders>
              <w:right w:val="single" w:color="000000" w:sz="4" w:space="0"/>
            </w:tcBorders>
            <w:tcMar>
              <w:left w:w="45" w:type="dxa"/>
              <w:right w:w="45" w:type="dxa"/>
            </w:tcMar>
            <w:vAlign w:val="center"/>
          </w:tcPr>
          <w:p>
            <w:pPr>
              <w:spacing w:line="300" w:lineRule="exact"/>
              <w:jc w:val="center"/>
              <w:rPr>
                <w:rFonts w:hint="eastAsia" w:eastAsia="黑体"/>
                <w:b/>
                <w:bCs/>
                <w:kern w:val="0"/>
                <w:szCs w:val="21"/>
              </w:rPr>
            </w:pPr>
          </w:p>
        </w:tc>
      </w:tr>
      <w:tr>
        <w:tblPrEx>
          <w:tblCellMar>
            <w:top w:w="0" w:type="dxa"/>
            <w:left w:w="108" w:type="dxa"/>
            <w:bottom w:w="0" w:type="dxa"/>
            <w:right w:w="108" w:type="dxa"/>
          </w:tblCellMar>
        </w:tblPrEx>
        <w:trPr>
          <w:trHeight w:val="635" w:hRule="atLeast"/>
          <w:jc w:val="center"/>
        </w:trPr>
        <w:tc>
          <w:tcPr>
            <w:tcW w:w="583" w:type="pct"/>
            <w:vMerge w:val="restart"/>
            <w:tcMar>
              <w:left w:w="45" w:type="dxa"/>
              <w:right w:w="45" w:type="dxa"/>
            </w:tcMar>
            <w:vAlign w:val="center"/>
          </w:tcPr>
          <w:p>
            <w:pPr>
              <w:widowControl/>
              <w:spacing w:line="300" w:lineRule="exact"/>
              <w:jc w:val="center"/>
              <w:rPr>
                <w:rFonts w:hint="default" w:ascii="Times New Roman" w:hAnsi="Times New Roman" w:eastAsia="宋体" w:cs="Times New Roman"/>
                <w:b w:val="0"/>
                <w:bCs/>
                <w:kern w:val="0"/>
                <w:sz w:val="21"/>
                <w:szCs w:val="21"/>
                <w:lang w:val="en-US" w:eastAsia="zh-CN" w:bidi="ar-SA"/>
              </w:rPr>
            </w:pPr>
            <w:r>
              <w:rPr>
                <w:b/>
                <w:kern w:val="0"/>
                <w:szCs w:val="21"/>
              </w:rPr>
              <w:t>1</w:t>
            </w:r>
            <w:r>
              <w:rPr>
                <w:rFonts w:hint="eastAsia"/>
                <w:b/>
                <w:kern w:val="0"/>
                <w:szCs w:val="21"/>
                <w:lang w:val="en-US" w:eastAsia="zh-CN"/>
              </w:rPr>
              <w:t>.管理体系</w:t>
            </w:r>
          </w:p>
        </w:tc>
        <w:tc>
          <w:tcPr>
            <w:tcW w:w="434" w:type="pct"/>
            <w:tcMar>
              <w:left w:w="45" w:type="dxa"/>
              <w:right w:w="45" w:type="dxa"/>
            </w:tcMar>
            <w:vAlign w:val="center"/>
          </w:tcPr>
          <w:p>
            <w:pPr>
              <w:widowControl/>
              <w:spacing w:line="300" w:lineRule="exact"/>
              <w:jc w:val="center"/>
              <w:rPr>
                <w:rFonts w:hint="default" w:ascii="Times New Roman" w:hAnsi="Times New Roman" w:eastAsia="宋体" w:cs="Times New Roman"/>
                <w:b w:val="0"/>
                <w:bCs/>
                <w:kern w:val="0"/>
                <w:sz w:val="21"/>
                <w:szCs w:val="21"/>
                <w:lang w:val="en-US" w:eastAsia="zh-CN" w:bidi="ar-SA"/>
              </w:rPr>
            </w:pPr>
            <w:r>
              <w:rPr>
                <w:rFonts w:hint="eastAsia"/>
                <w:b/>
                <w:kern w:val="0"/>
                <w:szCs w:val="21"/>
                <w:lang w:val="en-US" w:eastAsia="zh-CN"/>
              </w:rPr>
              <w:t>1.1</w:t>
            </w:r>
            <w:r>
              <w:rPr>
                <w:rFonts w:hint="eastAsia"/>
                <w:b/>
                <w:kern w:val="0"/>
                <w:szCs w:val="21"/>
              </w:rPr>
              <w:t>责任体系</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ascii="Times New Roman" w:hAnsi="Times New Roman" w:eastAsia="宋体" w:cs="Times New Roman"/>
                <w:b/>
                <w:kern w:val="0"/>
                <w:sz w:val="21"/>
                <w:szCs w:val="21"/>
                <w:lang w:val="en-US" w:eastAsia="zh-CN" w:bidi="ar-SA"/>
              </w:rPr>
            </w:pPr>
            <w:r>
              <w:rPr>
                <w:kern w:val="0"/>
                <w:szCs w:val="21"/>
              </w:rPr>
              <w:t>有实验室安全工作</w:t>
            </w:r>
            <w:r>
              <w:rPr>
                <w:rFonts w:hint="eastAsia"/>
                <w:kern w:val="0"/>
                <w:szCs w:val="21"/>
                <w:lang w:val="en-US" w:eastAsia="zh-CN"/>
              </w:rPr>
              <w:t>责任人和</w:t>
            </w:r>
            <w:r>
              <w:rPr>
                <w:kern w:val="0"/>
                <w:szCs w:val="21"/>
              </w:rPr>
              <w:t>领导机构</w:t>
            </w:r>
            <w:r>
              <w:rPr>
                <w:rFonts w:hint="eastAsia"/>
                <w:kern w:val="0"/>
                <w:szCs w:val="21"/>
                <w:lang w:eastAsia="zh-CN"/>
              </w:rPr>
              <w:t>；</w:t>
            </w:r>
            <w:r>
              <w:rPr>
                <w:rFonts w:hint="eastAsia"/>
                <w:kern w:val="0"/>
                <w:szCs w:val="21"/>
                <w:lang w:val="en-US" w:eastAsia="zh-CN"/>
              </w:rPr>
              <w:t>有</w:t>
            </w:r>
            <w:r>
              <w:rPr>
                <w:rFonts w:hint="eastAsia"/>
                <w:kern w:val="0"/>
                <w:szCs w:val="21"/>
              </w:rPr>
              <w:t>明确</w:t>
            </w:r>
            <w:r>
              <w:rPr>
                <w:rFonts w:hint="eastAsia"/>
                <w:kern w:val="0"/>
                <w:szCs w:val="21"/>
                <w:lang w:val="en-US" w:eastAsia="zh-CN"/>
              </w:rPr>
              <w:t>的</w:t>
            </w:r>
            <w:r>
              <w:rPr>
                <w:rFonts w:hint="eastAsia"/>
                <w:kern w:val="0"/>
                <w:szCs w:val="21"/>
              </w:rPr>
              <w:t>实验室安全管理部门</w:t>
            </w:r>
            <w:r>
              <w:rPr>
                <w:rFonts w:hint="eastAsia"/>
                <w:kern w:val="0"/>
                <w:szCs w:val="21"/>
                <w:lang w:eastAsia="zh-CN"/>
              </w:rPr>
              <w:t>，</w:t>
            </w:r>
            <w:r>
              <w:rPr>
                <w:rFonts w:hint="eastAsia"/>
                <w:kern w:val="0"/>
                <w:szCs w:val="21"/>
                <w:lang w:val="en-US" w:eastAsia="zh-CN"/>
              </w:rPr>
              <w:t>相关部门切实配合落实工作；有明确的各实验室层面责任人；职责与分工明确清晰，队伍稳定且可持续发展</w:t>
            </w:r>
          </w:p>
        </w:tc>
        <w:tc>
          <w:tcPr>
            <w:tcW w:w="1991" w:type="pct"/>
            <w:tcBorders>
              <w:right w:val="single" w:color="000000" w:sz="4" w:space="0"/>
            </w:tcBorders>
            <w:tcMar>
              <w:left w:w="45" w:type="dxa"/>
              <w:right w:w="45" w:type="dxa"/>
            </w:tcMar>
            <w:vAlign w:val="center"/>
          </w:tcPr>
          <w:p>
            <w:pPr>
              <w:widowControl/>
              <w:spacing w:line="300" w:lineRule="exact"/>
              <w:jc w:val="left"/>
              <w:rPr>
                <w:kern w:val="0"/>
                <w:szCs w:val="21"/>
              </w:rPr>
            </w:pPr>
          </w:p>
        </w:tc>
      </w:tr>
      <w:tr>
        <w:tblPrEx>
          <w:tblCellMar>
            <w:top w:w="0" w:type="dxa"/>
            <w:left w:w="108" w:type="dxa"/>
            <w:bottom w:w="0" w:type="dxa"/>
            <w:right w:w="108" w:type="dxa"/>
          </w:tblCellMar>
        </w:tblPrEx>
        <w:trPr>
          <w:trHeight w:val="965" w:hRule="atLeast"/>
          <w:jc w:val="center"/>
        </w:trPr>
        <w:tc>
          <w:tcPr>
            <w:tcW w:w="583" w:type="pct"/>
            <w:vMerge w:val="continue"/>
            <w:tcMar>
              <w:left w:w="45" w:type="dxa"/>
              <w:right w:w="45" w:type="dxa"/>
            </w:tcMar>
            <w:vAlign w:val="center"/>
          </w:tcPr>
          <w:p>
            <w:pPr>
              <w:widowControl/>
              <w:spacing w:line="300" w:lineRule="exact"/>
              <w:jc w:val="left"/>
            </w:pPr>
          </w:p>
        </w:tc>
        <w:tc>
          <w:tcPr>
            <w:tcW w:w="434" w:type="pct"/>
            <w:tcMar>
              <w:left w:w="45" w:type="dxa"/>
              <w:right w:w="45" w:type="dxa"/>
            </w:tcMar>
            <w:vAlign w:val="center"/>
          </w:tcPr>
          <w:p>
            <w:pPr>
              <w:widowControl/>
              <w:spacing w:line="300" w:lineRule="exact"/>
              <w:jc w:val="center"/>
            </w:pPr>
            <w:r>
              <w:rPr>
                <w:rFonts w:hint="eastAsia"/>
                <w:b/>
                <w:kern w:val="0"/>
                <w:szCs w:val="21"/>
                <w:lang w:val="en-US" w:eastAsia="zh-CN"/>
              </w:rPr>
              <w:t>1.2</w:t>
            </w:r>
            <w:r>
              <w:rPr>
                <w:b/>
                <w:kern w:val="0"/>
                <w:szCs w:val="21"/>
              </w:rPr>
              <w:t>制度</w:t>
            </w:r>
            <w:r>
              <w:rPr>
                <w:rFonts w:hint="eastAsia"/>
                <w:b/>
                <w:kern w:val="0"/>
                <w:szCs w:val="21"/>
                <w:lang w:eastAsia="zh-CN"/>
              </w:rPr>
              <w:t>建设</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bCs/>
                <w:kern w:val="0"/>
                <w:szCs w:val="21"/>
                <w:lang w:val="en-US" w:eastAsia="zh-CN"/>
              </w:rPr>
            </w:pPr>
            <w:r>
              <w:rPr>
                <w:rFonts w:hint="eastAsia"/>
                <w:lang w:val="en-US" w:eastAsia="zh-CN"/>
              </w:rPr>
              <w:t>有实验室</w:t>
            </w:r>
            <w:r>
              <w:rPr>
                <w:rFonts w:hint="eastAsia"/>
                <w:lang w:eastAsia="zh-CN"/>
              </w:rPr>
              <w:t>安全责任、风险分级管控、</w:t>
            </w:r>
            <w:r>
              <w:rPr>
                <w:rFonts w:hint="eastAsia"/>
                <w:lang w:val="en-US" w:eastAsia="zh-CN"/>
              </w:rPr>
              <w:t>应急处置、定期检查整改、责任追究等制度。</w:t>
            </w:r>
            <w:r>
              <w:rPr>
                <w:rFonts w:hint="eastAsia"/>
                <w:kern w:val="0"/>
                <w:szCs w:val="21"/>
                <w:lang w:val="en-US" w:eastAsia="zh-CN"/>
              </w:rPr>
              <w:t>有规范的实验室安全管理制度以及实验室安全管理办法或细则，</w:t>
            </w:r>
            <w:r>
              <w:rPr>
                <w:rFonts w:hint="eastAsia"/>
                <w:bCs/>
                <w:kern w:val="0"/>
                <w:szCs w:val="21"/>
                <w:lang w:val="en-US" w:eastAsia="zh-CN"/>
              </w:rPr>
              <w:t>建有应急预案和应急演练制度。</w:t>
            </w:r>
          </w:p>
          <w:p>
            <w:pPr>
              <w:widowControl/>
              <w:spacing w:line="300" w:lineRule="exact"/>
              <w:jc w:val="left"/>
              <w:rPr>
                <w:rFonts w:hint="eastAsia"/>
                <w:kern w:val="0"/>
                <w:szCs w:val="21"/>
              </w:rPr>
            </w:pPr>
            <w:r>
              <w:rPr>
                <w:rFonts w:hint="eastAsia"/>
                <w:bCs/>
                <w:kern w:val="0"/>
                <w:szCs w:val="21"/>
                <w:lang w:val="en-US" w:eastAsia="zh-CN"/>
              </w:rPr>
              <w:t>建立实验室安全工作档案制度，档案记录规范合理</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bCs/>
                <w:kern w:val="0"/>
                <w:szCs w:val="21"/>
                <w:lang w:val="en-US" w:eastAsia="zh-CN"/>
              </w:rPr>
            </w:pPr>
          </w:p>
        </w:tc>
      </w:tr>
      <w:tr>
        <w:tblPrEx>
          <w:tblCellMar>
            <w:top w:w="0" w:type="dxa"/>
            <w:left w:w="108" w:type="dxa"/>
            <w:bottom w:w="0" w:type="dxa"/>
            <w:right w:w="108" w:type="dxa"/>
          </w:tblCellMar>
        </w:tblPrEx>
        <w:trPr>
          <w:trHeight w:val="762" w:hRule="atLeast"/>
          <w:jc w:val="center"/>
        </w:trPr>
        <w:tc>
          <w:tcPr>
            <w:tcW w:w="583" w:type="pct"/>
            <w:vMerge w:val="continue"/>
            <w:tcMar>
              <w:left w:w="45" w:type="dxa"/>
              <w:right w:w="45" w:type="dxa"/>
            </w:tcMar>
            <w:vAlign w:val="center"/>
          </w:tcPr>
          <w:p>
            <w:pPr>
              <w:widowControl/>
              <w:spacing w:line="300" w:lineRule="exact"/>
              <w:jc w:val="left"/>
            </w:pPr>
          </w:p>
        </w:tc>
        <w:tc>
          <w:tcPr>
            <w:tcW w:w="434" w:type="pct"/>
            <w:tcMar>
              <w:left w:w="45" w:type="dxa"/>
              <w:right w:w="45" w:type="dxa"/>
            </w:tcMar>
            <w:vAlign w:val="center"/>
          </w:tcPr>
          <w:p>
            <w:pPr>
              <w:widowControl/>
              <w:spacing w:line="300" w:lineRule="exact"/>
              <w:jc w:val="center"/>
              <w:rPr>
                <w:rFonts w:hint="eastAsia" w:eastAsia="宋体"/>
                <w:b/>
                <w:kern w:val="0"/>
                <w:szCs w:val="21"/>
                <w:lang w:val="en-US" w:eastAsia="zh-CN"/>
              </w:rPr>
            </w:pPr>
            <w:r>
              <w:rPr>
                <w:rFonts w:hint="eastAsia"/>
                <w:b/>
                <w:kern w:val="0"/>
                <w:szCs w:val="21"/>
                <w:lang w:val="en-US" w:eastAsia="zh-CN"/>
              </w:rPr>
              <w:t>1.3科学管理</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b w:val="0"/>
                <w:bCs/>
                <w:kern w:val="0"/>
                <w:szCs w:val="21"/>
                <w:lang w:val="en-US" w:eastAsia="zh-CN"/>
              </w:rPr>
            </w:pPr>
            <w:r>
              <w:rPr>
                <w:rFonts w:hint="eastAsia"/>
                <w:b w:val="0"/>
                <w:bCs/>
                <w:kern w:val="0"/>
                <w:szCs w:val="21"/>
                <w:lang w:val="en-US" w:eastAsia="zh-CN"/>
              </w:rPr>
              <w:t>推动安全工作向事前预防转型，保障应急功能完备、人员到位、装备齐全、响应及时。</w:t>
            </w:r>
          </w:p>
          <w:p>
            <w:pPr>
              <w:widowControl/>
              <w:spacing w:line="300" w:lineRule="exact"/>
              <w:jc w:val="left"/>
              <w:rPr>
                <w:rFonts w:hint="eastAsia"/>
                <w:bCs/>
                <w:kern w:val="0"/>
                <w:szCs w:val="21"/>
                <w:lang w:val="en-US" w:eastAsia="zh-CN"/>
              </w:rPr>
            </w:pPr>
            <w:r>
              <w:rPr>
                <w:rFonts w:hint="eastAsia"/>
                <w:b w:val="0"/>
                <w:bCs/>
                <w:kern w:val="0"/>
                <w:szCs w:val="21"/>
                <w:lang w:val="en-US" w:eastAsia="zh-CN"/>
              </w:rPr>
              <w:t>鼓励各地因地制宜，会同公安、应急、环保等部门制定切实可行的危险化学品管理规范，共同破解实</w:t>
            </w:r>
            <w:r>
              <w:rPr>
                <w:rFonts w:hint="eastAsia"/>
                <w:bCs/>
                <w:kern w:val="0"/>
                <w:szCs w:val="21"/>
                <w:lang w:val="en-US" w:eastAsia="zh-CN"/>
              </w:rPr>
              <w:t>验室安全管理难题。</w:t>
            </w:r>
          </w:p>
          <w:p>
            <w:pPr>
              <w:widowControl/>
              <w:spacing w:line="300" w:lineRule="exact"/>
              <w:jc w:val="left"/>
              <w:rPr>
                <w:rFonts w:hint="eastAsia"/>
                <w:bCs/>
                <w:kern w:val="0"/>
                <w:szCs w:val="21"/>
                <w:lang w:val="en-US" w:eastAsia="zh-CN"/>
              </w:rPr>
            </w:pPr>
            <w:r>
              <w:rPr>
                <w:rFonts w:hint="eastAsia"/>
                <w:b w:val="0"/>
                <w:bCs/>
                <w:kern w:val="0"/>
                <w:szCs w:val="21"/>
                <w:lang w:val="en-US" w:eastAsia="zh-CN"/>
              </w:rPr>
              <w:t>建立实验室安全信息管理系统和监管系统，充分利用数字技术提升实验室管理现代化水平</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b w:val="0"/>
                <w:bCs/>
                <w:kern w:val="0"/>
                <w:szCs w:val="21"/>
                <w:lang w:val="en-US" w:eastAsia="zh-CN"/>
              </w:rPr>
            </w:pPr>
          </w:p>
        </w:tc>
      </w:tr>
      <w:tr>
        <w:tblPrEx>
          <w:tblCellMar>
            <w:top w:w="0" w:type="dxa"/>
            <w:left w:w="108" w:type="dxa"/>
            <w:bottom w:w="0" w:type="dxa"/>
            <w:right w:w="108" w:type="dxa"/>
          </w:tblCellMar>
        </w:tblPrEx>
        <w:trPr>
          <w:trHeight w:val="899" w:hRule="atLeast"/>
          <w:jc w:val="center"/>
        </w:trPr>
        <w:tc>
          <w:tcPr>
            <w:tcW w:w="583" w:type="pct"/>
            <w:vMerge w:val="restart"/>
            <w:tcMar>
              <w:left w:w="45" w:type="dxa"/>
              <w:right w:w="45" w:type="dxa"/>
            </w:tcMar>
            <w:vAlign w:val="center"/>
          </w:tcPr>
          <w:p>
            <w:pPr>
              <w:widowControl/>
              <w:spacing w:line="300" w:lineRule="exact"/>
              <w:jc w:val="center"/>
              <w:rPr>
                <w:rFonts w:hint="default" w:eastAsia="宋体"/>
                <w:b w:val="0"/>
                <w:bCs/>
                <w:kern w:val="0"/>
                <w:szCs w:val="21"/>
                <w:lang w:val="en-US" w:eastAsia="zh-CN"/>
              </w:rPr>
            </w:pPr>
            <w:r>
              <w:rPr>
                <w:rFonts w:hint="eastAsia"/>
                <w:b/>
                <w:kern w:val="0"/>
                <w:szCs w:val="21"/>
                <w:lang w:val="en-US" w:eastAsia="zh-CN"/>
              </w:rPr>
              <w:t>2.实验场所</w:t>
            </w:r>
          </w:p>
        </w:tc>
        <w:tc>
          <w:tcPr>
            <w:tcW w:w="434" w:type="pct"/>
            <w:tcMar>
              <w:left w:w="45" w:type="dxa"/>
              <w:right w:w="45" w:type="dxa"/>
            </w:tcMar>
            <w:vAlign w:val="center"/>
          </w:tcPr>
          <w:p>
            <w:pPr>
              <w:widowControl/>
              <w:spacing w:line="300" w:lineRule="exact"/>
              <w:jc w:val="center"/>
              <w:rPr>
                <w:rFonts w:hint="eastAsia" w:eastAsia="宋体"/>
                <w:b w:val="0"/>
                <w:bCs/>
                <w:kern w:val="0"/>
                <w:szCs w:val="21"/>
                <w:lang w:val="en-US" w:eastAsia="zh-CN"/>
              </w:rPr>
            </w:pPr>
            <w:r>
              <w:rPr>
                <w:rFonts w:hint="eastAsia"/>
                <w:b/>
                <w:kern w:val="0"/>
                <w:szCs w:val="21"/>
                <w:lang w:val="en-US" w:eastAsia="zh-CN"/>
              </w:rPr>
              <w:t>2.1空间布局</w:t>
            </w:r>
          </w:p>
        </w:tc>
        <w:tc>
          <w:tcPr>
            <w:tcW w:w="1991" w:type="pct"/>
            <w:tcMar>
              <w:left w:w="45" w:type="dxa"/>
              <w:right w:w="45" w:type="dxa"/>
            </w:tcMar>
            <w:vAlign w:val="center"/>
          </w:tcPr>
          <w:p>
            <w:pPr>
              <w:widowControl/>
              <w:spacing w:line="300" w:lineRule="exact"/>
              <w:jc w:val="left"/>
              <w:rPr>
                <w:rFonts w:hint="default"/>
                <w:bCs/>
                <w:kern w:val="0"/>
                <w:szCs w:val="21"/>
                <w:lang w:val="en-US" w:eastAsia="zh-CN"/>
              </w:rPr>
            </w:pPr>
            <w:r>
              <w:rPr>
                <w:rFonts w:hint="default"/>
                <w:bCs/>
                <w:kern w:val="0"/>
                <w:szCs w:val="21"/>
                <w:lang w:val="en-US" w:eastAsia="zh-CN"/>
              </w:rPr>
              <w:t>实验室、功能室以及准备室、仪器室、实验员室等辅助用房建设要符合GB 50099-2011《中小学校设计规范》、JY/T 0385-2006《中小学理科实验室装备规范》的有关要求</w:t>
            </w:r>
          </w:p>
        </w:tc>
        <w:tc>
          <w:tcPr>
            <w:tcW w:w="1991" w:type="pct"/>
            <w:tcMar>
              <w:left w:w="45" w:type="dxa"/>
              <w:right w:w="45" w:type="dxa"/>
            </w:tcMar>
            <w:vAlign w:val="center"/>
          </w:tcPr>
          <w:p>
            <w:pPr>
              <w:widowControl/>
              <w:spacing w:line="300" w:lineRule="exact"/>
              <w:jc w:val="left"/>
              <w:rPr>
                <w:rFonts w:hint="default"/>
                <w:bCs/>
                <w:kern w:val="0"/>
                <w:szCs w:val="21"/>
                <w:lang w:val="en-US" w:eastAsia="zh-CN"/>
              </w:rPr>
            </w:pPr>
          </w:p>
        </w:tc>
      </w:tr>
      <w:tr>
        <w:tblPrEx>
          <w:tblCellMar>
            <w:top w:w="0" w:type="dxa"/>
            <w:left w:w="108" w:type="dxa"/>
            <w:bottom w:w="0" w:type="dxa"/>
            <w:right w:w="108" w:type="dxa"/>
          </w:tblCellMar>
        </w:tblPrEx>
        <w:trPr>
          <w:trHeight w:val="899" w:hRule="atLeast"/>
          <w:jc w:val="center"/>
        </w:trPr>
        <w:tc>
          <w:tcPr>
            <w:tcW w:w="583" w:type="pct"/>
            <w:vMerge w:val="continue"/>
            <w:tcMar>
              <w:left w:w="45" w:type="dxa"/>
              <w:right w:w="45" w:type="dxa"/>
            </w:tcMar>
            <w:vAlign w:val="center"/>
          </w:tcPr>
          <w:p>
            <w:pPr>
              <w:widowControl/>
              <w:spacing w:line="300" w:lineRule="exact"/>
              <w:jc w:val="left"/>
            </w:pPr>
          </w:p>
        </w:tc>
        <w:tc>
          <w:tcPr>
            <w:tcW w:w="434" w:type="pct"/>
            <w:tcMar>
              <w:left w:w="45" w:type="dxa"/>
              <w:right w:w="45" w:type="dxa"/>
            </w:tcMar>
            <w:vAlign w:val="center"/>
          </w:tcPr>
          <w:p>
            <w:pPr>
              <w:widowControl/>
              <w:spacing w:line="300" w:lineRule="exact"/>
              <w:jc w:val="center"/>
              <w:rPr>
                <w:rFonts w:hint="eastAsia"/>
                <w:b/>
                <w:kern w:val="0"/>
                <w:szCs w:val="21"/>
                <w:lang w:val="en-US" w:eastAsia="zh-CN"/>
              </w:rPr>
            </w:pPr>
            <w:r>
              <w:rPr>
                <w:rFonts w:hint="eastAsia"/>
                <w:b/>
                <w:kern w:val="0"/>
                <w:szCs w:val="21"/>
                <w:lang w:val="en-US" w:eastAsia="zh-CN"/>
              </w:rPr>
              <w:t>2.2基础设施</w:t>
            </w:r>
          </w:p>
        </w:tc>
        <w:tc>
          <w:tcPr>
            <w:tcW w:w="1991" w:type="pct"/>
            <w:tcMar>
              <w:left w:w="45" w:type="dxa"/>
              <w:right w:w="45" w:type="dxa"/>
            </w:tcMar>
            <w:vAlign w:val="center"/>
          </w:tcPr>
          <w:p>
            <w:pPr>
              <w:widowControl/>
              <w:spacing w:line="300" w:lineRule="exact"/>
              <w:jc w:val="left"/>
              <w:rPr>
                <w:rFonts w:hint="eastAsia" w:eastAsia="宋体"/>
                <w:b w:val="0"/>
                <w:bCs/>
                <w:kern w:val="0"/>
                <w:szCs w:val="21"/>
                <w:lang w:val="en-US" w:eastAsia="zh-CN"/>
              </w:rPr>
            </w:pPr>
            <w:r>
              <w:rPr>
                <w:rFonts w:hint="eastAsia"/>
                <w:szCs w:val="21"/>
                <w:lang w:val="en-US" w:eastAsia="zh-CN"/>
              </w:rPr>
              <w:t>实验室基础设施齐全，</w:t>
            </w:r>
            <w:r>
              <w:rPr>
                <w:rFonts w:hint="eastAsia"/>
                <w:szCs w:val="21"/>
              </w:rPr>
              <w:t>安装施工规范</w:t>
            </w:r>
            <w:r>
              <w:rPr>
                <w:rFonts w:hint="eastAsia"/>
                <w:szCs w:val="21"/>
                <w:lang w:eastAsia="zh-CN"/>
              </w:rPr>
              <w:t>，</w:t>
            </w:r>
            <w:r>
              <w:rPr>
                <w:rFonts w:hint="eastAsia"/>
                <w:szCs w:val="21"/>
                <w:lang w:val="en-US" w:eastAsia="zh-CN"/>
              </w:rPr>
              <w:t>符合国家相关标准要求；</w:t>
            </w:r>
            <w:r>
              <w:rPr>
                <w:rFonts w:hint="eastAsia" w:ascii="宋体" w:hAnsi="宋体"/>
                <w:kern w:val="0"/>
                <w:szCs w:val="21"/>
                <w:lang w:val="en-US" w:eastAsia="zh-CN"/>
              </w:rPr>
              <w:t>定期进行维护、检修，</w:t>
            </w:r>
            <w:r>
              <w:rPr>
                <w:rFonts w:ascii="宋体" w:hAnsi="宋体"/>
                <w:kern w:val="0"/>
                <w:szCs w:val="21"/>
              </w:rPr>
              <w:t>运行</w:t>
            </w:r>
            <w:r>
              <w:rPr>
                <w:rFonts w:hint="eastAsia" w:ascii="宋体" w:hAnsi="宋体"/>
                <w:kern w:val="0"/>
                <w:szCs w:val="21"/>
              </w:rPr>
              <w:t>正常</w:t>
            </w:r>
            <w:r>
              <w:rPr>
                <w:rFonts w:hint="eastAsia" w:ascii="宋体" w:hAnsi="宋体"/>
                <w:kern w:val="0"/>
                <w:szCs w:val="21"/>
                <w:lang w:eastAsia="zh-CN"/>
              </w:rPr>
              <w:t>；</w:t>
            </w:r>
            <w:r>
              <w:rPr>
                <w:rFonts w:hint="eastAsia"/>
                <w:szCs w:val="21"/>
              </w:rPr>
              <w:t>水、电、</w:t>
            </w:r>
            <w:r>
              <w:rPr>
                <w:rFonts w:hint="eastAsia"/>
                <w:szCs w:val="21"/>
                <w:lang w:val="en-US" w:eastAsia="zh-CN"/>
              </w:rPr>
              <w:t>通风、网络等</w:t>
            </w:r>
            <w:r>
              <w:rPr>
                <w:rFonts w:hint="eastAsia"/>
                <w:szCs w:val="21"/>
              </w:rPr>
              <w:t>管线布局合理</w:t>
            </w:r>
            <w:r>
              <w:rPr>
                <w:rFonts w:hint="eastAsia"/>
                <w:szCs w:val="21"/>
                <w:lang w:eastAsia="zh-CN"/>
              </w:rPr>
              <w:t>，</w:t>
            </w:r>
            <w:r>
              <w:rPr>
                <w:rFonts w:hint="eastAsia"/>
                <w:szCs w:val="21"/>
              </w:rPr>
              <w:t>仪器设备安装符合建筑物承重载荷</w:t>
            </w:r>
            <w:r>
              <w:rPr>
                <w:rFonts w:hint="eastAsia"/>
                <w:szCs w:val="21"/>
                <w:lang w:eastAsia="zh-CN"/>
              </w:rPr>
              <w:t>；</w:t>
            </w:r>
            <w:r>
              <w:rPr>
                <w:rFonts w:hint="eastAsia"/>
                <w:szCs w:val="21"/>
              </w:rPr>
              <w:t>实验操作台应选用合格的防火、耐腐蚀材料；实验室门上有观察窗</w:t>
            </w:r>
            <w:r>
              <w:rPr>
                <w:rFonts w:hint="eastAsia"/>
                <w:szCs w:val="21"/>
                <w:lang w:val="en-US" w:eastAsia="zh-CN"/>
              </w:rPr>
              <w:t>且无遮挡</w:t>
            </w:r>
            <w:r>
              <w:rPr>
                <w:rFonts w:hint="eastAsia"/>
                <w:szCs w:val="21"/>
              </w:rPr>
              <w:t>，外开门不阻挡逃生路径</w:t>
            </w:r>
          </w:p>
        </w:tc>
        <w:tc>
          <w:tcPr>
            <w:tcW w:w="1991" w:type="pct"/>
            <w:tcMar>
              <w:left w:w="45" w:type="dxa"/>
              <w:right w:w="45" w:type="dxa"/>
            </w:tcMar>
            <w:vAlign w:val="center"/>
          </w:tcPr>
          <w:p>
            <w:pPr>
              <w:widowControl/>
              <w:spacing w:line="300" w:lineRule="exact"/>
              <w:jc w:val="left"/>
              <w:rPr>
                <w:rFonts w:hint="eastAsia"/>
                <w:szCs w:val="21"/>
                <w:lang w:val="en-US" w:eastAsia="zh-CN"/>
              </w:rPr>
            </w:pPr>
          </w:p>
        </w:tc>
      </w:tr>
      <w:tr>
        <w:tblPrEx>
          <w:tblCellMar>
            <w:top w:w="0" w:type="dxa"/>
            <w:left w:w="108" w:type="dxa"/>
            <w:bottom w:w="0" w:type="dxa"/>
            <w:right w:w="108" w:type="dxa"/>
          </w:tblCellMar>
        </w:tblPrEx>
        <w:trPr>
          <w:trHeight w:val="899" w:hRule="atLeast"/>
          <w:jc w:val="center"/>
        </w:trPr>
        <w:tc>
          <w:tcPr>
            <w:tcW w:w="583" w:type="pct"/>
            <w:vMerge w:val="continue"/>
            <w:tcMar>
              <w:left w:w="45" w:type="dxa"/>
              <w:right w:w="45" w:type="dxa"/>
            </w:tcMar>
            <w:vAlign w:val="center"/>
          </w:tcPr>
          <w:p>
            <w:pPr>
              <w:widowControl/>
              <w:spacing w:line="300" w:lineRule="exact"/>
              <w:jc w:val="left"/>
            </w:pPr>
          </w:p>
        </w:tc>
        <w:tc>
          <w:tcPr>
            <w:tcW w:w="434" w:type="pct"/>
            <w:tcMar>
              <w:left w:w="45" w:type="dxa"/>
              <w:right w:w="45" w:type="dxa"/>
            </w:tcMar>
            <w:vAlign w:val="center"/>
          </w:tcPr>
          <w:p>
            <w:pPr>
              <w:widowControl/>
              <w:spacing w:line="300" w:lineRule="exact"/>
              <w:jc w:val="center"/>
              <w:rPr>
                <w:rFonts w:hint="eastAsia"/>
                <w:b/>
                <w:kern w:val="0"/>
                <w:szCs w:val="21"/>
                <w:lang w:val="en-US" w:eastAsia="zh-CN"/>
              </w:rPr>
            </w:pPr>
            <w:r>
              <w:rPr>
                <w:rFonts w:hint="eastAsia"/>
                <w:b/>
                <w:kern w:val="0"/>
                <w:szCs w:val="21"/>
                <w:lang w:val="en-US" w:eastAsia="zh-CN"/>
              </w:rPr>
              <w:t>2.3安全与急救</w:t>
            </w:r>
          </w:p>
          <w:p>
            <w:pPr>
              <w:widowControl/>
              <w:spacing w:line="300" w:lineRule="exact"/>
              <w:jc w:val="center"/>
              <w:rPr>
                <w:rFonts w:hint="default" w:eastAsia="宋体"/>
                <w:b w:val="0"/>
                <w:bCs/>
                <w:kern w:val="0"/>
                <w:szCs w:val="21"/>
                <w:lang w:val="en-US" w:eastAsia="zh-CN"/>
              </w:rPr>
            </w:pPr>
            <w:r>
              <w:rPr>
                <w:rFonts w:hint="eastAsia"/>
                <w:b/>
                <w:kern w:val="0"/>
                <w:szCs w:val="21"/>
                <w:lang w:val="en-US" w:eastAsia="zh-CN"/>
              </w:rPr>
              <w:t>设施</w:t>
            </w:r>
          </w:p>
        </w:tc>
        <w:tc>
          <w:tcPr>
            <w:tcW w:w="1991" w:type="pct"/>
            <w:tcMar>
              <w:left w:w="45" w:type="dxa"/>
              <w:right w:w="45" w:type="dxa"/>
            </w:tcMar>
            <w:vAlign w:val="center"/>
          </w:tcPr>
          <w:p>
            <w:pPr>
              <w:widowControl/>
              <w:spacing w:line="300" w:lineRule="exact"/>
              <w:jc w:val="left"/>
              <w:rPr>
                <w:rFonts w:hint="eastAsia"/>
                <w:szCs w:val="21"/>
                <w:lang w:eastAsia="zh-CN"/>
              </w:rPr>
            </w:pPr>
            <w:r>
              <w:rPr>
                <w:rFonts w:hint="eastAsia"/>
                <w:szCs w:val="21"/>
              </w:rPr>
              <w:t>实验室</w:t>
            </w:r>
            <w:r>
              <w:rPr>
                <w:rFonts w:hint="eastAsia"/>
                <w:szCs w:val="21"/>
                <w:lang w:eastAsia="zh-CN"/>
              </w:rPr>
              <w:t>、</w:t>
            </w:r>
            <w:r>
              <w:rPr>
                <w:rFonts w:hint="eastAsia"/>
                <w:szCs w:val="21"/>
                <w:lang w:val="en-US" w:eastAsia="zh-CN"/>
              </w:rPr>
              <w:t>功能室及辅助用房</w:t>
            </w:r>
            <w:r>
              <w:rPr>
                <w:rFonts w:hint="eastAsia"/>
                <w:szCs w:val="21"/>
              </w:rPr>
              <w:t>建设和装修应符合消防安全要求</w:t>
            </w:r>
            <w:r>
              <w:rPr>
                <w:rFonts w:hint="eastAsia"/>
                <w:szCs w:val="21"/>
                <w:lang w:eastAsia="zh-CN"/>
              </w:rPr>
              <w:t>，</w:t>
            </w:r>
            <w:r>
              <w:rPr>
                <w:rFonts w:hint="eastAsia"/>
                <w:bCs/>
                <w:szCs w:val="21"/>
              </w:rPr>
              <w:t>保持消防通道通畅</w:t>
            </w:r>
            <w:r>
              <w:rPr>
                <w:rFonts w:hint="eastAsia"/>
                <w:szCs w:val="21"/>
                <w:lang w:eastAsia="zh-CN"/>
              </w:rPr>
              <w:t>；</w:t>
            </w:r>
          </w:p>
          <w:p>
            <w:pPr>
              <w:widowControl/>
              <w:spacing w:line="300" w:lineRule="exact"/>
              <w:jc w:val="left"/>
              <w:rPr>
                <w:rFonts w:hint="eastAsia"/>
                <w:szCs w:val="21"/>
                <w:lang w:eastAsia="zh-CN"/>
              </w:rPr>
            </w:pPr>
            <w:r>
              <w:rPr>
                <w:rFonts w:hint="eastAsia" w:eastAsia="宋体"/>
                <w:b w:val="0"/>
                <w:bCs/>
                <w:kern w:val="0"/>
                <w:szCs w:val="21"/>
                <w:lang w:val="en-US" w:eastAsia="zh-CN"/>
              </w:rPr>
              <w:t>应配备合适的灭火设备，种类配置正确</w:t>
            </w:r>
            <w:r>
              <w:rPr>
                <w:rFonts w:hint="eastAsia"/>
                <w:b w:val="0"/>
                <w:bCs/>
                <w:kern w:val="0"/>
                <w:szCs w:val="21"/>
                <w:lang w:val="en-US" w:eastAsia="zh-CN"/>
              </w:rPr>
              <w:t>，状态</w:t>
            </w:r>
            <w:r>
              <w:rPr>
                <w:rFonts w:hint="eastAsia" w:eastAsia="宋体"/>
                <w:b w:val="0"/>
                <w:bCs/>
                <w:kern w:val="0"/>
                <w:szCs w:val="21"/>
                <w:lang w:val="en-US" w:eastAsia="zh-CN"/>
              </w:rPr>
              <w:t>正常</w:t>
            </w:r>
            <w:r>
              <w:rPr>
                <w:rFonts w:hint="eastAsia"/>
                <w:b w:val="0"/>
                <w:bCs/>
                <w:kern w:val="0"/>
                <w:szCs w:val="21"/>
                <w:lang w:val="en-US" w:eastAsia="zh-CN"/>
              </w:rPr>
              <w:t>，</w:t>
            </w:r>
            <w:r>
              <w:rPr>
                <w:rFonts w:hint="eastAsia" w:eastAsia="宋体"/>
                <w:b w:val="0"/>
                <w:bCs/>
                <w:kern w:val="0"/>
                <w:szCs w:val="21"/>
                <w:lang w:val="en-US" w:eastAsia="zh-CN"/>
              </w:rPr>
              <w:t>在有效期内</w:t>
            </w:r>
            <w:r>
              <w:rPr>
                <w:rFonts w:hint="eastAsia"/>
                <w:b w:val="0"/>
                <w:bCs/>
                <w:kern w:val="0"/>
                <w:szCs w:val="21"/>
                <w:lang w:val="en-US" w:eastAsia="zh-CN"/>
              </w:rPr>
              <w:t>。</w:t>
            </w:r>
          </w:p>
          <w:p>
            <w:pPr>
              <w:widowControl/>
              <w:spacing w:line="300" w:lineRule="exact"/>
              <w:jc w:val="left"/>
              <w:rPr>
                <w:rFonts w:hint="eastAsia" w:eastAsia="宋体"/>
                <w:b w:val="0"/>
                <w:bCs/>
                <w:kern w:val="0"/>
                <w:szCs w:val="21"/>
                <w:lang w:val="en-US" w:eastAsia="zh-CN"/>
              </w:rPr>
            </w:pPr>
            <w:r>
              <w:rPr>
                <w:bCs/>
                <w:kern w:val="0"/>
                <w:szCs w:val="21"/>
              </w:rPr>
              <w:t>学校层面</w:t>
            </w:r>
            <w:r>
              <w:rPr>
                <w:rFonts w:hint="eastAsia"/>
                <w:bCs/>
                <w:kern w:val="0"/>
                <w:szCs w:val="21"/>
              </w:rPr>
              <w:t>建立危险源分布清单</w:t>
            </w:r>
            <w:r>
              <w:rPr>
                <w:rFonts w:hint="eastAsia"/>
                <w:bCs/>
                <w:kern w:val="0"/>
                <w:szCs w:val="21"/>
                <w:lang w:eastAsia="zh-CN"/>
              </w:rPr>
              <w:t>，</w:t>
            </w:r>
            <w:r>
              <w:rPr>
                <w:rFonts w:hint="eastAsia"/>
                <w:bCs/>
                <w:kern w:val="0"/>
                <w:szCs w:val="21"/>
              </w:rPr>
              <w:t>涉及危险源</w:t>
            </w:r>
            <w:r>
              <w:rPr>
                <w:bCs/>
                <w:kern w:val="0"/>
                <w:szCs w:val="21"/>
              </w:rPr>
              <w:t>的实验场所，</w:t>
            </w:r>
            <w:r>
              <w:rPr>
                <w:rFonts w:hint="eastAsia"/>
                <w:bCs/>
                <w:kern w:val="0"/>
                <w:szCs w:val="21"/>
              </w:rPr>
              <w:t>应</w:t>
            </w:r>
            <w:r>
              <w:rPr>
                <w:bCs/>
                <w:kern w:val="0"/>
                <w:szCs w:val="21"/>
              </w:rPr>
              <w:t>有</w:t>
            </w:r>
            <w:r>
              <w:rPr>
                <w:rFonts w:hint="eastAsia"/>
                <w:bCs/>
                <w:kern w:val="0"/>
                <w:szCs w:val="21"/>
              </w:rPr>
              <w:t>警示</w:t>
            </w:r>
            <w:r>
              <w:rPr>
                <w:bCs/>
                <w:kern w:val="0"/>
                <w:szCs w:val="21"/>
              </w:rPr>
              <w:t>标识</w:t>
            </w:r>
            <w:r>
              <w:rPr>
                <w:rFonts w:hint="eastAsia"/>
                <w:bCs/>
                <w:kern w:val="0"/>
                <w:szCs w:val="21"/>
                <w:lang w:eastAsia="zh-CN"/>
              </w:rPr>
              <w:t>；</w:t>
            </w:r>
            <w:r>
              <w:rPr>
                <w:rFonts w:hint="eastAsia"/>
                <w:szCs w:val="21"/>
              </w:rPr>
              <w:t>实验</w:t>
            </w:r>
            <w:r>
              <w:rPr>
                <w:rFonts w:hint="eastAsia"/>
                <w:szCs w:val="21"/>
                <w:lang w:eastAsia="zh-CN"/>
              </w:rPr>
              <w:t>室</w:t>
            </w:r>
            <w:r>
              <w:rPr>
                <w:rFonts w:hint="eastAsia"/>
                <w:szCs w:val="21"/>
              </w:rPr>
              <w:t>应张贴安全信息牌，并及时更新</w:t>
            </w:r>
            <w:r>
              <w:rPr>
                <w:rFonts w:hint="eastAsia"/>
                <w:szCs w:val="21"/>
                <w:lang w:eastAsia="zh-CN"/>
              </w:rPr>
              <w:t>。</w:t>
            </w:r>
          </w:p>
          <w:p>
            <w:pPr>
              <w:widowControl/>
              <w:spacing w:line="300" w:lineRule="exact"/>
              <w:jc w:val="left"/>
              <w:rPr>
                <w:rFonts w:hint="eastAsia"/>
                <w:b w:val="0"/>
                <w:bCs/>
                <w:kern w:val="0"/>
                <w:szCs w:val="21"/>
                <w:lang w:val="en-US" w:eastAsia="zh-CN"/>
              </w:rPr>
            </w:pPr>
            <w:r>
              <w:rPr>
                <w:rFonts w:hint="eastAsia" w:cs="Times New Roman"/>
                <w:bCs/>
                <w:kern w:val="2"/>
                <w:sz w:val="21"/>
                <w:szCs w:val="21"/>
                <w:lang w:val="en-US" w:eastAsia="zh-CN" w:bidi="ar-SA"/>
              </w:rPr>
              <w:t>实验室所有房间应配备集中管理的应急备用钥匙；</w:t>
            </w:r>
            <w:r>
              <w:rPr>
                <w:rFonts w:hint="eastAsia" w:eastAsia="宋体"/>
                <w:b w:val="0"/>
                <w:bCs/>
                <w:kern w:val="0"/>
                <w:szCs w:val="21"/>
                <w:lang w:val="en-US" w:eastAsia="zh-CN"/>
              </w:rPr>
              <w:t>重点场所（如危险化学品使用、储存场所等）需安装门禁和监控设施</w:t>
            </w:r>
            <w:r>
              <w:rPr>
                <w:rFonts w:hint="eastAsia"/>
                <w:b w:val="0"/>
                <w:bCs/>
                <w:kern w:val="0"/>
                <w:szCs w:val="21"/>
                <w:lang w:val="en-US" w:eastAsia="zh-CN"/>
              </w:rPr>
              <w:t>，</w:t>
            </w:r>
            <w:r>
              <w:rPr>
                <w:rFonts w:hint="eastAsia" w:eastAsia="宋体"/>
                <w:b w:val="0"/>
                <w:bCs/>
                <w:kern w:val="0"/>
                <w:szCs w:val="21"/>
                <w:lang w:val="en-US" w:eastAsia="zh-CN"/>
              </w:rPr>
              <w:t>运转正常</w:t>
            </w:r>
            <w:r>
              <w:rPr>
                <w:rFonts w:hint="eastAsia"/>
                <w:b w:val="0"/>
                <w:bCs/>
                <w:kern w:val="0"/>
                <w:szCs w:val="21"/>
                <w:lang w:val="en-US" w:eastAsia="zh-CN"/>
              </w:rPr>
              <w:t>，</w:t>
            </w:r>
            <w:r>
              <w:rPr>
                <w:rFonts w:hint="eastAsia" w:eastAsia="宋体"/>
                <w:b w:val="0"/>
                <w:bCs/>
                <w:kern w:val="0"/>
                <w:szCs w:val="21"/>
                <w:lang w:val="en-US" w:eastAsia="zh-CN"/>
              </w:rPr>
              <w:t>停电时，电子门禁系统应是开启状态</w:t>
            </w:r>
            <w:r>
              <w:rPr>
                <w:rFonts w:hint="eastAsia"/>
                <w:b w:val="0"/>
                <w:bCs/>
                <w:kern w:val="0"/>
                <w:szCs w:val="21"/>
                <w:lang w:val="en-US" w:eastAsia="zh-CN"/>
              </w:rPr>
              <w:t>。</w:t>
            </w:r>
          </w:p>
          <w:p>
            <w:pPr>
              <w:widowControl/>
              <w:spacing w:line="300" w:lineRule="exact"/>
              <w:jc w:val="left"/>
              <w:rPr>
                <w:rFonts w:hint="eastAsia" w:eastAsia="宋体"/>
                <w:b w:val="0"/>
                <w:bCs/>
                <w:kern w:val="0"/>
                <w:szCs w:val="21"/>
                <w:lang w:val="en-US" w:eastAsia="zh-CN"/>
              </w:rPr>
            </w:pPr>
            <w:r>
              <w:rPr>
                <w:rFonts w:hint="eastAsia"/>
                <w:bCs/>
                <w:szCs w:val="21"/>
              </w:rPr>
              <w:t>实验室应配备</w:t>
            </w:r>
            <w:r>
              <w:rPr>
                <w:rFonts w:hint="eastAsia"/>
                <w:bCs/>
                <w:szCs w:val="21"/>
                <w:lang w:val="en-US" w:eastAsia="zh-CN"/>
              </w:rPr>
              <w:t>合适的个人防护用品、保质期内的</w:t>
            </w:r>
            <w:r>
              <w:rPr>
                <w:rFonts w:hint="eastAsia"/>
                <w:bCs/>
                <w:szCs w:val="21"/>
              </w:rPr>
              <w:t>急救物品</w:t>
            </w:r>
            <w:r>
              <w:rPr>
                <w:rFonts w:hint="eastAsia"/>
                <w:bCs/>
                <w:szCs w:val="21"/>
                <w:lang w:val="en-US" w:eastAsia="zh-CN"/>
              </w:rPr>
              <w:t>及应急处置箱</w:t>
            </w:r>
            <w:r>
              <w:rPr>
                <w:rFonts w:hint="eastAsia"/>
                <w:bCs/>
                <w:szCs w:val="21"/>
                <w:lang w:eastAsia="zh-CN"/>
              </w:rPr>
              <w:t>；</w:t>
            </w:r>
            <w:r>
              <w:rPr>
                <w:rFonts w:hint="eastAsia" w:eastAsia="宋体"/>
                <w:b w:val="0"/>
                <w:bCs/>
                <w:kern w:val="0"/>
                <w:szCs w:val="21"/>
                <w:lang w:val="en-US" w:eastAsia="zh-CN"/>
              </w:rPr>
              <w:t>规范配置应急喷淋和洗眼装置，</w:t>
            </w:r>
            <w:r>
              <w:rPr>
                <w:rFonts w:hint="eastAsia"/>
                <w:b w:val="0"/>
                <w:bCs/>
                <w:kern w:val="0"/>
                <w:szCs w:val="21"/>
                <w:lang w:val="en-US" w:eastAsia="zh-CN"/>
              </w:rPr>
              <w:t>能</w:t>
            </w:r>
            <w:r>
              <w:rPr>
                <w:rFonts w:hint="eastAsia" w:eastAsia="宋体"/>
                <w:b w:val="0"/>
                <w:bCs/>
                <w:kern w:val="0"/>
                <w:szCs w:val="21"/>
                <w:lang w:val="en-US" w:eastAsia="zh-CN"/>
              </w:rPr>
              <w:t>定期</w:t>
            </w:r>
            <w:r>
              <w:rPr>
                <w:rFonts w:hint="eastAsia"/>
                <w:b w:val="0"/>
                <w:bCs/>
                <w:kern w:val="0"/>
                <w:szCs w:val="21"/>
                <w:lang w:val="en-US" w:eastAsia="zh-CN"/>
              </w:rPr>
              <w:t>维护与</w:t>
            </w:r>
            <w:r>
              <w:rPr>
                <w:rFonts w:hint="eastAsia" w:eastAsia="宋体"/>
                <w:b w:val="0"/>
                <w:bCs/>
                <w:kern w:val="0"/>
                <w:szCs w:val="21"/>
                <w:lang w:val="en-US" w:eastAsia="zh-CN"/>
              </w:rPr>
              <w:t>检查</w:t>
            </w:r>
          </w:p>
        </w:tc>
        <w:tc>
          <w:tcPr>
            <w:tcW w:w="1991" w:type="pct"/>
            <w:tcMar>
              <w:left w:w="45" w:type="dxa"/>
              <w:right w:w="45" w:type="dxa"/>
            </w:tcMar>
            <w:vAlign w:val="center"/>
          </w:tcPr>
          <w:p>
            <w:pPr>
              <w:widowControl/>
              <w:spacing w:line="300" w:lineRule="exact"/>
              <w:jc w:val="left"/>
              <w:rPr>
                <w:rFonts w:hint="eastAsia"/>
                <w:bCs/>
                <w:szCs w:val="21"/>
              </w:rPr>
            </w:pPr>
          </w:p>
        </w:tc>
      </w:tr>
      <w:tr>
        <w:tblPrEx>
          <w:tblCellMar>
            <w:top w:w="0" w:type="dxa"/>
            <w:left w:w="108" w:type="dxa"/>
            <w:bottom w:w="0" w:type="dxa"/>
            <w:right w:w="108" w:type="dxa"/>
          </w:tblCellMar>
        </w:tblPrEx>
        <w:trPr>
          <w:trHeight w:val="1955" w:hRule="atLeast"/>
          <w:jc w:val="center"/>
        </w:trPr>
        <w:tc>
          <w:tcPr>
            <w:tcW w:w="583" w:type="pct"/>
            <w:vMerge w:val="continue"/>
            <w:tcMar>
              <w:left w:w="45" w:type="dxa"/>
              <w:right w:w="45" w:type="dxa"/>
            </w:tcMar>
            <w:vAlign w:val="center"/>
          </w:tcPr>
          <w:p>
            <w:pPr>
              <w:widowControl/>
              <w:spacing w:line="300" w:lineRule="exact"/>
              <w:jc w:val="left"/>
            </w:pPr>
          </w:p>
        </w:tc>
        <w:tc>
          <w:tcPr>
            <w:tcW w:w="434" w:type="pct"/>
            <w:tcMar>
              <w:left w:w="45" w:type="dxa"/>
              <w:right w:w="45" w:type="dxa"/>
            </w:tcMar>
            <w:vAlign w:val="center"/>
          </w:tcPr>
          <w:p>
            <w:pPr>
              <w:widowControl/>
              <w:spacing w:line="300" w:lineRule="exact"/>
              <w:jc w:val="center"/>
              <w:rPr>
                <w:rFonts w:hint="default"/>
                <w:b/>
                <w:kern w:val="0"/>
                <w:szCs w:val="21"/>
                <w:lang w:val="en-US" w:eastAsia="zh-CN"/>
              </w:rPr>
            </w:pPr>
            <w:r>
              <w:rPr>
                <w:rFonts w:hint="eastAsia"/>
                <w:b/>
                <w:kern w:val="0"/>
                <w:szCs w:val="21"/>
                <w:lang w:val="en-US" w:eastAsia="zh-CN"/>
              </w:rPr>
              <w:t>2.4仪器设备</w:t>
            </w:r>
          </w:p>
        </w:tc>
        <w:tc>
          <w:tcPr>
            <w:tcW w:w="1991" w:type="pct"/>
            <w:tcMar>
              <w:left w:w="45" w:type="dxa"/>
              <w:right w:w="45" w:type="dxa"/>
            </w:tcMar>
            <w:vAlign w:val="center"/>
          </w:tcPr>
          <w:p>
            <w:pPr>
              <w:widowControl/>
              <w:spacing w:line="300" w:lineRule="exact"/>
              <w:jc w:val="left"/>
              <w:rPr>
                <w:rFonts w:hint="eastAsia" w:eastAsia="宋体"/>
                <w:b w:val="0"/>
                <w:bCs/>
                <w:kern w:val="0"/>
                <w:szCs w:val="21"/>
                <w:lang w:val="en-US" w:eastAsia="zh-CN"/>
              </w:rPr>
            </w:pPr>
            <w:r>
              <w:rPr>
                <w:rFonts w:hint="eastAsia" w:eastAsia="宋体"/>
                <w:b w:val="0"/>
                <w:bCs/>
                <w:kern w:val="0"/>
                <w:szCs w:val="21"/>
                <w:lang w:val="en-US" w:eastAsia="zh-CN"/>
              </w:rPr>
              <w:t>学校的教学装备应符合国家或者行业相关技术、安全、环保、使用与保管等方面的标准，应取得通过资质认定的专业检测机构出具的符合相关标准的检测报告</w:t>
            </w:r>
            <w:r>
              <w:rPr>
                <w:rFonts w:hint="eastAsia"/>
                <w:b w:val="0"/>
                <w:bCs/>
                <w:kern w:val="0"/>
                <w:szCs w:val="21"/>
                <w:lang w:val="en-US" w:eastAsia="zh-CN"/>
              </w:rPr>
              <w:t>。</w:t>
            </w:r>
          </w:p>
          <w:p>
            <w:pPr>
              <w:widowControl/>
              <w:spacing w:line="300" w:lineRule="exact"/>
              <w:jc w:val="left"/>
              <w:rPr>
                <w:rFonts w:hint="eastAsia"/>
                <w:b w:val="0"/>
                <w:bCs/>
                <w:kern w:val="0"/>
                <w:szCs w:val="21"/>
                <w:lang w:val="en-US" w:eastAsia="zh-CN"/>
              </w:rPr>
            </w:pPr>
            <w:r>
              <w:rPr>
                <w:rFonts w:hint="eastAsia" w:eastAsia="宋体"/>
                <w:b w:val="0"/>
                <w:bCs/>
                <w:kern w:val="0"/>
                <w:szCs w:val="21"/>
                <w:lang w:val="en-US" w:eastAsia="zh-CN"/>
              </w:rPr>
              <w:t>仪器设备</w:t>
            </w:r>
            <w:r>
              <w:rPr>
                <w:rFonts w:hint="eastAsia"/>
                <w:b w:val="0"/>
                <w:bCs/>
                <w:kern w:val="0"/>
                <w:szCs w:val="21"/>
                <w:lang w:val="en-US" w:eastAsia="zh-CN"/>
              </w:rPr>
              <w:t>与个人防护用品要</w:t>
            </w:r>
            <w:r>
              <w:rPr>
                <w:rFonts w:hint="eastAsia" w:eastAsia="宋体"/>
                <w:b w:val="0"/>
                <w:bCs/>
                <w:kern w:val="0"/>
                <w:szCs w:val="21"/>
                <w:lang w:val="en-US" w:eastAsia="zh-CN"/>
              </w:rPr>
              <w:t>定期</w:t>
            </w:r>
            <w:r>
              <w:rPr>
                <w:rFonts w:hint="eastAsia"/>
                <w:b w:val="0"/>
                <w:bCs/>
                <w:kern w:val="0"/>
                <w:szCs w:val="21"/>
                <w:lang w:val="en-US" w:eastAsia="zh-CN"/>
              </w:rPr>
              <w:t>检查、</w:t>
            </w:r>
            <w:r>
              <w:rPr>
                <w:rFonts w:hint="eastAsia" w:eastAsia="宋体"/>
                <w:b w:val="0"/>
                <w:bCs/>
                <w:kern w:val="0"/>
                <w:szCs w:val="21"/>
                <w:lang w:val="en-US" w:eastAsia="zh-CN"/>
              </w:rPr>
              <w:t>更新、维护，使用状态正常可靠，无损坏与老化情况</w:t>
            </w:r>
            <w:r>
              <w:rPr>
                <w:rFonts w:hint="eastAsia"/>
                <w:b w:val="0"/>
                <w:bCs/>
                <w:kern w:val="0"/>
                <w:szCs w:val="21"/>
                <w:lang w:val="en-US" w:eastAsia="zh-CN"/>
              </w:rPr>
              <w:t>，不使用有安全隐患的仪器设备。</w:t>
            </w:r>
          </w:p>
          <w:p>
            <w:pPr>
              <w:widowControl/>
              <w:spacing w:line="300" w:lineRule="exact"/>
              <w:jc w:val="left"/>
              <w:rPr>
                <w:rFonts w:hint="eastAsia"/>
                <w:b w:val="0"/>
                <w:bCs/>
                <w:kern w:val="0"/>
                <w:szCs w:val="21"/>
                <w:lang w:val="en-US" w:eastAsia="zh-CN"/>
              </w:rPr>
            </w:pPr>
            <w:r>
              <w:rPr>
                <w:rFonts w:hint="eastAsia"/>
                <w:b w:val="0"/>
                <w:bCs/>
                <w:kern w:val="0"/>
                <w:szCs w:val="21"/>
                <w:lang w:val="en-US" w:eastAsia="zh-CN"/>
              </w:rPr>
              <w:t>特种设备使用依据《中华人民共和国特种设备安全法》《特种设备安全监察条例》。中小学原则上不使用具有核辐射配件的仪器设备</w:t>
            </w:r>
          </w:p>
        </w:tc>
        <w:tc>
          <w:tcPr>
            <w:tcW w:w="1991" w:type="pct"/>
            <w:tcMar>
              <w:left w:w="45" w:type="dxa"/>
              <w:right w:w="45" w:type="dxa"/>
            </w:tcMar>
            <w:vAlign w:val="center"/>
          </w:tcPr>
          <w:p>
            <w:pPr>
              <w:widowControl/>
              <w:spacing w:line="300" w:lineRule="exact"/>
              <w:jc w:val="left"/>
              <w:rPr>
                <w:rFonts w:hint="eastAsia"/>
                <w:b w:val="0"/>
                <w:bCs/>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5" w:hRule="atLeast"/>
          <w:jc w:val="center"/>
        </w:trPr>
        <w:tc>
          <w:tcPr>
            <w:tcW w:w="583" w:type="pct"/>
            <w:tcMar>
              <w:left w:w="45" w:type="dxa"/>
              <w:right w:w="45" w:type="dxa"/>
            </w:tcMar>
            <w:vAlign w:val="center"/>
          </w:tcPr>
          <w:p>
            <w:pPr>
              <w:widowControl/>
              <w:spacing w:line="300" w:lineRule="exact"/>
              <w:jc w:val="left"/>
            </w:pPr>
          </w:p>
        </w:tc>
        <w:tc>
          <w:tcPr>
            <w:tcW w:w="434" w:type="pct"/>
            <w:tcMar>
              <w:left w:w="45" w:type="dxa"/>
              <w:right w:w="45" w:type="dxa"/>
            </w:tcMar>
            <w:vAlign w:val="center"/>
          </w:tcPr>
          <w:p>
            <w:pPr>
              <w:widowControl/>
              <w:spacing w:line="300" w:lineRule="exact"/>
              <w:jc w:val="center"/>
              <w:rPr>
                <w:rFonts w:hint="eastAsia"/>
                <w:b/>
                <w:kern w:val="0"/>
                <w:szCs w:val="21"/>
                <w:lang w:val="en-US" w:eastAsia="zh-CN"/>
              </w:rPr>
            </w:pPr>
            <w:r>
              <w:rPr>
                <w:rFonts w:hint="eastAsia"/>
                <w:b/>
                <w:kern w:val="0"/>
                <w:szCs w:val="21"/>
                <w:lang w:val="en-US" w:eastAsia="zh-CN"/>
              </w:rPr>
              <w:t>2.5生化试剂</w:t>
            </w:r>
          </w:p>
          <w:p>
            <w:pPr>
              <w:widowControl/>
              <w:spacing w:line="300" w:lineRule="exact"/>
              <w:jc w:val="center"/>
              <w:rPr>
                <w:rFonts w:hint="default"/>
                <w:b/>
                <w:kern w:val="0"/>
                <w:szCs w:val="21"/>
                <w:lang w:val="en-US" w:eastAsia="zh-CN"/>
              </w:rPr>
            </w:pPr>
            <w:r>
              <w:rPr>
                <w:rFonts w:hint="eastAsia"/>
                <w:b/>
                <w:kern w:val="0"/>
                <w:szCs w:val="21"/>
                <w:lang w:val="en-US" w:eastAsia="zh-CN"/>
              </w:rPr>
              <w:t>及实验动物</w:t>
            </w:r>
          </w:p>
        </w:tc>
        <w:tc>
          <w:tcPr>
            <w:tcW w:w="1991" w:type="pct"/>
            <w:tcMar>
              <w:left w:w="45" w:type="dxa"/>
              <w:right w:w="45" w:type="dxa"/>
            </w:tcMar>
            <w:vAlign w:val="center"/>
          </w:tcPr>
          <w:p>
            <w:pPr>
              <w:widowControl/>
              <w:spacing w:line="300" w:lineRule="exact"/>
              <w:jc w:val="left"/>
              <w:rPr>
                <w:rFonts w:hint="eastAsia" w:eastAsia="宋体"/>
                <w:b w:val="0"/>
                <w:bCs/>
                <w:kern w:val="0"/>
                <w:szCs w:val="21"/>
                <w:lang w:val="en-US" w:eastAsia="zh-CN"/>
              </w:rPr>
            </w:pPr>
            <w:r>
              <w:rPr>
                <w:rFonts w:hint="eastAsia" w:eastAsia="宋体"/>
                <w:b w:val="0"/>
                <w:bCs/>
                <w:kern w:val="0"/>
                <w:szCs w:val="21"/>
                <w:lang w:val="en-US" w:eastAsia="zh-CN"/>
              </w:rPr>
              <w:t>各类药品试剂要依据技术要求存放，严禁混存混放</w:t>
            </w:r>
            <w:r>
              <w:rPr>
                <w:rFonts w:hint="eastAsia"/>
                <w:b w:val="0"/>
                <w:bCs/>
                <w:kern w:val="0"/>
                <w:szCs w:val="21"/>
                <w:lang w:val="en-US" w:eastAsia="zh-CN"/>
              </w:rPr>
              <w:t>；</w:t>
            </w:r>
            <w:r>
              <w:rPr>
                <w:rFonts w:hint="eastAsia" w:ascii="宋体" w:hAnsi="ºÚÌå" w:cs="宋体"/>
                <w:kern w:val="0"/>
                <w:szCs w:val="21"/>
              </w:rPr>
              <w:t>化学品包装物上应有符合规定的化学品标签</w:t>
            </w:r>
            <w:r>
              <w:rPr>
                <w:rFonts w:hint="eastAsia" w:ascii="宋体" w:hAnsi="ºÚÌå" w:cs="宋体"/>
                <w:kern w:val="0"/>
                <w:szCs w:val="21"/>
                <w:lang w:eastAsia="zh-CN"/>
              </w:rPr>
              <w:t>，</w:t>
            </w:r>
            <w:r>
              <w:rPr>
                <w:rFonts w:hint="eastAsia"/>
                <w:kern w:val="0"/>
                <w:szCs w:val="21"/>
              </w:rPr>
              <w:t>标签应显著完整清晰</w:t>
            </w:r>
            <w:r>
              <w:rPr>
                <w:rFonts w:hint="eastAsia"/>
                <w:kern w:val="0"/>
                <w:szCs w:val="21"/>
                <w:lang w:eastAsia="zh-CN"/>
              </w:rPr>
              <w:t>。</w:t>
            </w:r>
          </w:p>
          <w:p>
            <w:pPr>
              <w:widowControl/>
              <w:spacing w:line="300" w:lineRule="exact"/>
              <w:jc w:val="left"/>
              <w:rPr>
                <w:rFonts w:hint="eastAsia"/>
                <w:kern w:val="0"/>
                <w:szCs w:val="21"/>
                <w:lang w:eastAsia="zh-CN"/>
              </w:rPr>
            </w:pPr>
            <w:r>
              <w:rPr>
                <w:rFonts w:hint="eastAsia"/>
                <w:b w:val="0"/>
                <w:bCs/>
                <w:kern w:val="0"/>
                <w:szCs w:val="21"/>
              </w:rPr>
              <w:t>管制类化学品</w:t>
            </w:r>
            <w:r>
              <w:rPr>
                <w:rFonts w:hint="eastAsia"/>
                <w:b w:val="0"/>
                <w:bCs/>
                <w:kern w:val="0"/>
                <w:szCs w:val="21"/>
                <w:lang w:val="en-US" w:eastAsia="zh-CN"/>
              </w:rPr>
              <w:t>管理应遵守</w:t>
            </w:r>
            <w:r>
              <w:rPr>
                <w:rFonts w:hint="eastAsia"/>
                <w:kern w:val="0"/>
                <w:szCs w:val="21"/>
                <w:lang w:val="en-US" w:eastAsia="zh-CN"/>
              </w:rPr>
              <w:t>《危险化学品安全管理条例》（国务院令第591号）《易制毒化学品管理条例》（国务院令第445号）《易制毒化学品购销和运输管理办法》（公安部令第87号）；《易制爆危险化学品治安管理办法》（公安部令154号）《易制爆危险化学品储存场所治安防范要求》（GA 1511-2018）《使用有毒物品作业场所劳动保护条例》（国务院令第352号）等法律法规；</w:t>
            </w:r>
            <w:r>
              <w:rPr>
                <w:rFonts w:hint="eastAsia" w:ascii="宋体" w:hAnsi="宋体"/>
              </w:rPr>
              <w:t>学校设置危险化学品储存室，</w:t>
            </w:r>
            <w:r>
              <w:rPr>
                <w:rFonts w:hint="eastAsia"/>
                <w:bCs/>
                <w:kern w:val="0"/>
                <w:szCs w:val="21"/>
              </w:rPr>
              <w:t>实施</w:t>
            </w:r>
            <w:r>
              <w:rPr>
                <w:rFonts w:hint="eastAsia"/>
                <w:kern w:val="0"/>
                <w:szCs w:val="21"/>
              </w:rPr>
              <w:t>“五双”管理</w:t>
            </w:r>
            <w:r>
              <w:rPr>
                <w:kern w:val="0"/>
                <w:szCs w:val="21"/>
              </w:rPr>
              <w:t>，</w:t>
            </w:r>
            <w:r>
              <w:rPr>
                <w:rFonts w:hint="eastAsia" w:ascii="宋体" w:hAnsi="宋体"/>
              </w:rPr>
              <w:t>建立严格的出入库管理制度</w:t>
            </w:r>
            <w:r>
              <w:rPr>
                <w:rFonts w:hint="eastAsia" w:ascii="宋体" w:hAnsi="宋体"/>
                <w:lang w:eastAsia="zh-CN"/>
              </w:rPr>
              <w:t>，</w:t>
            </w:r>
            <w:r>
              <w:rPr>
                <w:rFonts w:hint="eastAsia"/>
                <w:kern w:val="0"/>
                <w:szCs w:val="21"/>
              </w:rPr>
              <w:t>建立</w:t>
            </w:r>
            <w:r>
              <w:rPr>
                <w:kern w:val="0"/>
                <w:szCs w:val="21"/>
              </w:rPr>
              <w:t>危险化学品动态台</w:t>
            </w:r>
            <w:r>
              <w:rPr>
                <w:rFonts w:hint="eastAsia"/>
                <w:kern w:val="0"/>
                <w:szCs w:val="21"/>
              </w:rPr>
              <w:t>账</w:t>
            </w:r>
            <w:r>
              <w:rPr>
                <w:rFonts w:hint="eastAsia"/>
                <w:kern w:val="0"/>
                <w:szCs w:val="21"/>
                <w:lang w:eastAsia="zh-CN"/>
              </w:rPr>
              <w:t>，</w:t>
            </w:r>
            <w:r>
              <w:rPr>
                <w:rFonts w:hint="eastAsia"/>
                <w:kern w:val="0"/>
                <w:szCs w:val="21"/>
              </w:rPr>
              <w:t>有危险</w:t>
            </w:r>
            <w:r>
              <w:rPr>
                <w:kern w:val="0"/>
                <w:szCs w:val="21"/>
              </w:rPr>
              <w:t>化学品安全技术说明书（MSDS）或安</w:t>
            </w:r>
            <w:r>
              <w:rPr>
                <w:color w:val="000000" w:themeColor="text1"/>
                <w:kern w:val="0"/>
                <w:szCs w:val="21"/>
                <w14:textFill>
                  <w14:solidFill>
                    <w14:schemeClr w14:val="tx1"/>
                  </w14:solidFill>
                </w14:textFill>
              </w:rPr>
              <w:t>全周知卡</w:t>
            </w:r>
            <w:r>
              <w:rPr>
                <w:rFonts w:hint="eastAsia"/>
                <w:color w:val="000000" w:themeColor="text1"/>
                <w:kern w:val="0"/>
                <w:szCs w:val="21"/>
                <w:lang w:eastAsia="zh-CN"/>
                <w14:textFill>
                  <w14:solidFill>
                    <w14:schemeClr w14:val="tx1"/>
                  </w14:solidFill>
                </w14:textFill>
              </w:rPr>
              <w:t>，</w:t>
            </w:r>
            <w:r>
              <w:rPr>
                <w:rFonts w:hint="eastAsia"/>
                <w:kern w:val="0"/>
                <w:szCs w:val="21"/>
              </w:rPr>
              <w:t>技防措施</w:t>
            </w:r>
            <w:r>
              <w:rPr>
                <w:kern w:val="0"/>
                <w:szCs w:val="21"/>
              </w:rPr>
              <w:t>符合管制要求</w:t>
            </w:r>
            <w:r>
              <w:rPr>
                <w:rFonts w:hint="eastAsia"/>
                <w:kern w:val="0"/>
                <w:szCs w:val="21"/>
                <w:lang w:eastAsia="zh-CN"/>
              </w:rPr>
              <w:t>。</w:t>
            </w:r>
          </w:p>
          <w:p>
            <w:pPr>
              <w:widowControl/>
              <w:spacing w:line="300" w:lineRule="exact"/>
              <w:jc w:val="left"/>
              <w:rPr>
                <w:rFonts w:hint="eastAsia"/>
                <w:kern w:val="0"/>
                <w:szCs w:val="21"/>
                <w:lang w:val="en-US" w:eastAsia="zh-CN"/>
              </w:rPr>
            </w:pPr>
            <w:r>
              <w:rPr>
                <w:kern w:val="0"/>
                <w:szCs w:val="21"/>
              </w:rPr>
              <w:t>化学废弃物</w:t>
            </w:r>
            <w:r>
              <w:rPr>
                <w:rFonts w:hint="eastAsia"/>
                <w:kern w:val="0"/>
                <w:szCs w:val="21"/>
              </w:rPr>
              <w:t>的</w:t>
            </w:r>
            <w:r>
              <w:rPr>
                <w:rFonts w:hint="eastAsia"/>
                <w:kern w:val="0"/>
                <w:szCs w:val="21"/>
                <w:lang w:val="en-US" w:eastAsia="zh-CN"/>
              </w:rPr>
              <w:t>收集、</w:t>
            </w:r>
            <w:r>
              <w:rPr>
                <w:kern w:val="0"/>
                <w:szCs w:val="21"/>
              </w:rPr>
              <w:t>转运</w:t>
            </w:r>
            <w:r>
              <w:rPr>
                <w:rFonts w:hint="eastAsia"/>
                <w:kern w:val="0"/>
                <w:szCs w:val="21"/>
                <w:lang w:eastAsia="zh-CN"/>
              </w:rPr>
              <w:t>、</w:t>
            </w:r>
            <w:r>
              <w:rPr>
                <w:rFonts w:hint="eastAsia"/>
                <w:kern w:val="0"/>
                <w:szCs w:val="21"/>
                <w:lang w:val="en-US" w:eastAsia="zh-CN"/>
              </w:rPr>
              <w:t>处理</w:t>
            </w:r>
            <w:r>
              <w:rPr>
                <w:kern w:val="0"/>
                <w:szCs w:val="21"/>
              </w:rPr>
              <w:t>须</w:t>
            </w:r>
            <w:r>
              <w:rPr>
                <w:rFonts w:hint="eastAsia"/>
                <w:kern w:val="0"/>
                <w:szCs w:val="21"/>
                <w:lang w:val="en-US" w:eastAsia="zh-CN"/>
              </w:rPr>
              <w:t>符合相关规定；生物废弃物要与其他类别废弃物分开，且做好防护和消杀，处置规范。</w:t>
            </w:r>
          </w:p>
          <w:p>
            <w:pPr>
              <w:widowControl/>
              <w:spacing w:line="300" w:lineRule="exact"/>
              <w:jc w:val="left"/>
              <w:rPr>
                <w:rFonts w:hint="eastAsia"/>
                <w:kern w:val="0"/>
                <w:szCs w:val="21"/>
                <w:lang w:val="en-US" w:eastAsia="zh-CN"/>
              </w:rPr>
            </w:pPr>
            <w:r>
              <w:rPr>
                <w:rFonts w:hint="eastAsia"/>
                <w:color w:val="auto"/>
                <w:kern w:val="0"/>
                <w:szCs w:val="21"/>
                <w:lang w:val="en-US" w:eastAsia="zh-CN"/>
              </w:rPr>
              <w:t>实验动物的购买、饲养、解剖须符合相关规定</w:t>
            </w:r>
          </w:p>
        </w:tc>
        <w:tc>
          <w:tcPr>
            <w:tcW w:w="1991" w:type="pct"/>
            <w:tcMar>
              <w:left w:w="45" w:type="dxa"/>
              <w:right w:w="45" w:type="dxa"/>
            </w:tcMar>
            <w:vAlign w:val="center"/>
          </w:tcPr>
          <w:p>
            <w:pPr>
              <w:widowControl/>
              <w:spacing w:line="300" w:lineRule="exact"/>
              <w:jc w:val="left"/>
              <w:rPr>
                <w:rFonts w:hint="eastAsia"/>
                <w:color w:val="auto"/>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0" w:hRule="atLeast"/>
          <w:jc w:val="center"/>
        </w:trPr>
        <w:tc>
          <w:tcPr>
            <w:tcW w:w="583" w:type="pct"/>
            <w:vMerge w:val="restart"/>
            <w:tcMar>
              <w:left w:w="45" w:type="dxa"/>
              <w:right w:w="45" w:type="dxa"/>
            </w:tcMar>
            <w:vAlign w:val="center"/>
          </w:tcPr>
          <w:p>
            <w:pPr>
              <w:widowControl/>
              <w:spacing w:line="300" w:lineRule="exact"/>
              <w:jc w:val="center"/>
              <w:rPr>
                <w:rFonts w:hint="default" w:ascii="Times New Roman" w:hAnsi="Times New Roman" w:eastAsia="宋体" w:cs="Times New Roman"/>
                <w:b/>
                <w:kern w:val="0"/>
                <w:sz w:val="21"/>
                <w:szCs w:val="21"/>
                <w:lang w:val="en-US" w:eastAsia="zh-CN" w:bidi="ar-SA"/>
              </w:rPr>
            </w:pPr>
            <w:r>
              <w:rPr>
                <w:b/>
                <w:kern w:val="0"/>
                <w:szCs w:val="21"/>
              </w:rPr>
              <w:t>3</w:t>
            </w:r>
            <w:r>
              <w:rPr>
                <w:rFonts w:hint="eastAsia"/>
                <w:b/>
                <w:kern w:val="0"/>
                <w:szCs w:val="21"/>
                <w:lang w:val="en-US" w:eastAsia="zh-CN"/>
              </w:rPr>
              <w:t>.安全教育</w:t>
            </w:r>
          </w:p>
        </w:tc>
        <w:tc>
          <w:tcPr>
            <w:tcW w:w="434" w:type="pct"/>
            <w:tcBorders>
              <w:right w:val="single" w:color="000000" w:sz="4" w:space="0"/>
            </w:tcBorders>
            <w:tcMar>
              <w:left w:w="45" w:type="dxa"/>
              <w:right w:w="45" w:type="dxa"/>
            </w:tcMar>
            <w:vAlign w:val="center"/>
          </w:tcPr>
          <w:p>
            <w:pPr>
              <w:widowControl/>
              <w:spacing w:line="300" w:lineRule="exact"/>
              <w:jc w:val="center"/>
              <w:rPr>
                <w:rFonts w:hint="default" w:ascii="Times New Roman" w:hAnsi="Times New Roman" w:eastAsia="宋体" w:cs="Times New Roman"/>
                <w:b/>
                <w:kern w:val="0"/>
                <w:sz w:val="21"/>
                <w:szCs w:val="21"/>
                <w:lang w:val="en-US" w:eastAsia="zh-CN" w:bidi="ar-SA"/>
              </w:rPr>
            </w:pPr>
            <w:r>
              <w:rPr>
                <w:rFonts w:hint="eastAsia"/>
                <w:b/>
                <w:kern w:val="0"/>
                <w:szCs w:val="21"/>
                <w:lang w:val="en-US" w:eastAsia="zh-CN"/>
              </w:rPr>
              <w:t>3.1队伍建设</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color w:val="auto"/>
                <w:kern w:val="0"/>
                <w:szCs w:val="21"/>
                <w:lang w:val="en-US" w:eastAsia="zh-CN"/>
              </w:rPr>
            </w:pPr>
            <w:r>
              <w:rPr>
                <w:rFonts w:hint="eastAsia"/>
                <w:color w:val="auto"/>
                <w:kern w:val="0"/>
                <w:szCs w:val="21"/>
                <w:lang w:val="en-US" w:eastAsia="zh-CN"/>
              </w:rPr>
              <w:t>学校配备专职或兼职的实验室管理人员各级主管实验室安全的负责人、管理人员具有相关资质或接受过实验室安全培训，能够掌握相关法律法规、规章制度，熟知危险源及其特性，掌握防护知识和技能、应急救援知识和技能等。</w:t>
            </w:r>
          </w:p>
          <w:p>
            <w:pPr>
              <w:widowControl/>
              <w:spacing w:line="300" w:lineRule="exact"/>
              <w:jc w:val="left"/>
              <w:rPr>
                <w:rFonts w:hint="eastAsia"/>
                <w:color w:val="auto"/>
                <w:kern w:val="0"/>
                <w:szCs w:val="21"/>
                <w:lang w:val="en-US" w:eastAsia="zh-CN"/>
              </w:rPr>
            </w:pPr>
            <w:r>
              <w:rPr>
                <w:rFonts w:hint="eastAsia"/>
                <w:color w:val="auto"/>
                <w:kern w:val="0"/>
                <w:szCs w:val="21"/>
                <w:lang w:val="en-US" w:eastAsia="zh-CN"/>
              </w:rPr>
              <w:t>每年要对实验室管理人员至少进行一次安全培训和</w:t>
            </w:r>
            <w:r>
              <w:rPr>
                <w:rFonts w:hint="eastAsia"/>
                <w:bCs/>
                <w:kern w:val="0"/>
                <w:szCs w:val="21"/>
              </w:rPr>
              <w:t>应急演练</w:t>
            </w:r>
            <w:r>
              <w:rPr>
                <w:rFonts w:hint="eastAsia"/>
                <w:color w:val="auto"/>
                <w:kern w:val="0"/>
                <w:szCs w:val="21"/>
                <w:lang w:val="en-US" w:eastAsia="zh-CN"/>
              </w:rPr>
              <w:t>；要把实验技术规范、安全防护、应急处理等知识和技能纳入承担实验教学任务的教师、实验员岗前和职中培训考核项目。</w:t>
            </w:r>
          </w:p>
          <w:p>
            <w:pPr>
              <w:widowControl/>
              <w:spacing w:line="300" w:lineRule="exact"/>
              <w:jc w:val="left"/>
              <w:rPr>
                <w:rFonts w:hint="default"/>
                <w:color w:val="auto"/>
                <w:kern w:val="0"/>
                <w:szCs w:val="21"/>
                <w:highlight w:val="yellow"/>
                <w:lang w:val="en-US" w:eastAsia="zh-CN"/>
              </w:rPr>
            </w:pPr>
            <w:r>
              <w:rPr>
                <w:rFonts w:hint="eastAsia"/>
                <w:color w:val="auto"/>
                <w:kern w:val="0"/>
                <w:szCs w:val="21"/>
                <w:highlight w:val="none"/>
                <w:lang w:val="en-US" w:eastAsia="zh-CN"/>
              </w:rPr>
              <w:t>师范学校在中小学科学类教师培养中，要强化实验安全意识和能力</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color w:val="auto"/>
                <w:kern w:val="0"/>
                <w:szCs w:val="21"/>
                <w:highlight w:val="none"/>
                <w:lang w:val="en-US" w:eastAsia="zh-CN"/>
              </w:rPr>
            </w:pPr>
          </w:p>
        </w:tc>
      </w:tr>
      <w:tr>
        <w:tblPrEx>
          <w:tblCellMar>
            <w:top w:w="0" w:type="dxa"/>
            <w:left w:w="108" w:type="dxa"/>
            <w:bottom w:w="0" w:type="dxa"/>
            <w:right w:w="108" w:type="dxa"/>
          </w:tblCellMar>
        </w:tblPrEx>
        <w:trPr>
          <w:trHeight w:val="920" w:hRule="atLeast"/>
          <w:jc w:val="center"/>
        </w:trPr>
        <w:tc>
          <w:tcPr>
            <w:tcW w:w="583" w:type="pct"/>
            <w:vMerge w:val="continue"/>
            <w:tcMar>
              <w:left w:w="45" w:type="dxa"/>
              <w:right w:w="45" w:type="dxa"/>
            </w:tcMar>
            <w:vAlign w:val="center"/>
          </w:tcPr>
          <w:p>
            <w:pPr>
              <w:widowControl/>
              <w:spacing w:line="300" w:lineRule="exact"/>
              <w:jc w:val="left"/>
            </w:pPr>
          </w:p>
        </w:tc>
        <w:tc>
          <w:tcPr>
            <w:tcW w:w="434" w:type="pct"/>
            <w:tcBorders>
              <w:right w:val="single" w:color="000000" w:sz="4" w:space="0"/>
            </w:tcBorders>
            <w:tcMar>
              <w:left w:w="45" w:type="dxa"/>
              <w:right w:w="45" w:type="dxa"/>
            </w:tcMar>
            <w:vAlign w:val="center"/>
          </w:tcPr>
          <w:p>
            <w:pPr>
              <w:widowControl/>
              <w:spacing w:line="300" w:lineRule="exact"/>
              <w:jc w:val="center"/>
              <w:rPr>
                <w:rFonts w:hint="default"/>
                <w:b/>
                <w:kern w:val="0"/>
                <w:szCs w:val="21"/>
                <w:lang w:val="en-US" w:eastAsia="zh-CN"/>
              </w:rPr>
            </w:pPr>
            <w:r>
              <w:rPr>
                <w:rFonts w:hint="eastAsia"/>
                <w:b/>
                <w:kern w:val="0"/>
                <w:szCs w:val="21"/>
                <w:lang w:val="en-US" w:eastAsia="zh-CN"/>
              </w:rPr>
              <w:t>3.2校园文化</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kern w:val="0"/>
                <w:szCs w:val="21"/>
                <w:lang w:val="en-US" w:eastAsia="zh-CN"/>
              </w:rPr>
            </w:pPr>
            <w:r>
              <w:rPr>
                <w:rFonts w:hint="eastAsia"/>
                <w:kern w:val="0"/>
                <w:szCs w:val="21"/>
              </w:rPr>
              <w:t>建设有学校特色的安全文化</w:t>
            </w:r>
            <w:r>
              <w:rPr>
                <w:rFonts w:hint="eastAsia"/>
                <w:kern w:val="0"/>
                <w:szCs w:val="21"/>
                <w:lang w:eastAsia="zh-CN"/>
              </w:rPr>
              <w:t>，</w:t>
            </w:r>
            <w:r>
              <w:rPr>
                <w:rFonts w:hint="eastAsia"/>
                <w:kern w:val="0"/>
                <w:szCs w:val="21"/>
              </w:rPr>
              <w:t>创新宣传教育形式，</w:t>
            </w:r>
            <w:r>
              <w:rPr>
                <w:rFonts w:hint="eastAsia"/>
                <w:kern w:val="0"/>
                <w:szCs w:val="21"/>
                <w:lang w:val="en-US" w:eastAsia="zh-CN"/>
              </w:rPr>
              <w:t>积极利用安全生产月、全国中小学生安全教育周（日）等契机，开展内容丰富的安全宣传教育活动，</w:t>
            </w:r>
            <w:r>
              <w:rPr>
                <w:rFonts w:hint="eastAsia"/>
                <w:kern w:val="0"/>
                <w:szCs w:val="21"/>
              </w:rPr>
              <w:t>加强</w:t>
            </w:r>
            <w:r>
              <w:rPr>
                <w:kern w:val="0"/>
                <w:szCs w:val="21"/>
              </w:rPr>
              <w:t>安全文化</w:t>
            </w:r>
            <w:r>
              <w:rPr>
                <w:rFonts w:hint="eastAsia"/>
                <w:kern w:val="0"/>
                <w:szCs w:val="21"/>
              </w:rPr>
              <w:t>建设</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kern w:val="0"/>
                <w:szCs w:val="21"/>
              </w:rPr>
            </w:pPr>
          </w:p>
        </w:tc>
      </w:tr>
      <w:tr>
        <w:tblPrEx>
          <w:tblCellMar>
            <w:top w:w="0" w:type="dxa"/>
            <w:left w:w="108" w:type="dxa"/>
            <w:bottom w:w="0" w:type="dxa"/>
            <w:right w:w="108" w:type="dxa"/>
          </w:tblCellMar>
        </w:tblPrEx>
        <w:trPr>
          <w:trHeight w:val="3315" w:hRule="atLeast"/>
          <w:jc w:val="center"/>
        </w:trPr>
        <w:tc>
          <w:tcPr>
            <w:tcW w:w="583" w:type="pct"/>
            <w:vMerge w:val="continue"/>
            <w:tcMar>
              <w:left w:w="45" w:type="dxa"/>
              <w:right w:w="45" w:type="dxa"/>
            </w:tcMar>
            <w:vAlign w:val="center"/>
          </w:tcPr>
          <w:p>
            <w:pPr>
              <w:widowControl/>
              <w:spacing w:line="300" w:lineRule="exact"/>
              <w:jc w:val="left"/>
              <w:rPr>
                <w:rFonts w:hint="eastAsia"/>
                <w:b/>
                <w:kern w:val="0"/>
                <w:szCs w:val="21"/>
                <w:lang w:val="en-US" w:eastAsia="zh-CN"/>
              </w:rPr>
            </w:pPr>
          </w:p>
        </w:tc>
        <w:tc>
          <w:tcPr>
            <w:tcW w:w="434" w:type="pct"/>
            <w:tcBorders>
              <w:right w:val="single" w:color="000000" w:sz="4" w:space="0"/>
            </w:tcBorders>
            <w:tcMar>
              <w:left w:w="45" w:type="dxa"/>
              <w:right w:w="45" w:type="dxa"/>
            </w:tcMar>
            <w:vAlign w:val="center"/>
          </w:tcPr>
          <w:p>
            <w:pPr>
              <w:widowControl/>
              <w:spacing w:line="300" w:lineRule="exact"/>
              <w:jc w:val="center"/>
              <w:rPr>
                <w:rFonts w:hint="default"/>
                <w:b/>
                <w:kern w:val="0"/>
                <w:szCs w:val="21"/>
                <w:lang w:val="en-US" w:eastAsia="zh-CN"/>
              </w:rPr>
            </w:pPr>
            <w:r>
              <w:rPr>
                <w:rFonts w:hint="eastAsia"/>
                <w:b/>
                <w:kern w:val="0"/>
                <w:szCs w:val="21"/>
                <w:lang w:val="en-US" w:eastAsia="zh-CN"/>
              </w:rPr>
              <w:t>3.3实验教学</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kern w:val="0"/>
                <w:szCs w:val="21"/>
                <w:lang w:val="en-US" w:eastAsia="zh-CN"/>
              </w:rPr>
            </w:pPr>
            <w:r>
              <w:rPr>
                <w:rFonts w:hint="eastAsia"/>
                <w:kern w:val="0"/>
                <w:szCs w:val="21"/>
                <w:lang w:val="en-US" w:eastAsia="zh-CN"/>
              </w:rPr>
              <w:t>将实验室安全纳入实验教学的重要内容，充分利用学科实验与实践课进行安全知识与技能教育，积极帮助学生掌握必要的应急处理方法和自救措施，增强安全意识、提高安全防护能力。</w:t>
            </w:r>
          </w:p>
          <w:p>
            <w:pPr>
              <w:widowControl/>
              <w:spacing w:line="300" w:lineRule="exact"/>
              <w:jc w:val="left"/>
              <w:rPr>
                <w:rFonts w:hint="eastAsia"/>
                <w:kern w:val="0"/>
                <w:szCs w:val="21"/>
                <w:lang w:val="en-US" w:eastAsia="zh-CN"/>
              </w:rPr>
            </w:pPr>
            <w:r>
              <w:rPr>
                <w:rFonts w:hint="eastAsia"/>
                <w:kern w:val="0"/>
                <w:szCs w:val="21"/>
                <w:lang w:val="en-US" w:eastAsia="zh-CN"/>
              </w:rPr>
              <w:t>各校必须落实学生进实验室前的安全教育，创新安全教育形式，开展安全第一课，定期开展专题安全应急演练等。</w:t>
            </w:r>
          </w:p>
          <w:p>
            <w:pPr>
              <w:widowControl/>
              <w:spacing w:line="300" w:lineRule="exact"/>
              <w:jc w:val="left"/>
              <w:rPr>
                <w:rFonts w:hint="eastAsia"/>
                <w:kern w:val="0"/>
                <w:szCs w:val="21"/>
                <w:lang w:val="en-US" w:eastAsia="zh-CN"/>
              </w:rPr>
            </w:pPr>
            <w:r>
              <w:rPr>
                <w:rFonts w:hint="eastAsia"/>
                <w:kern w:val="0"/>
                <w:szCs w:val="21"/>
                <w:lang w:val="en-US" w:eastAsia="zh-CN"/>
              </w:rPr>
              <w:t>开展实验教学时，教师要根据实验教学内容督促学生做好个人安全防护，指导学生规范、安全操作。</w:t>
            </w:r>
          </w:p>
          <w:p>
            <w:pPr>
              <w:widowControl/>
              <w:spacing w:line="300" w:lineRule="exact"/>
              <w:jc w:val="left"/>
              <w:rPr>
                <w:rFonts w:hint="eastAsia"/>
                <w:kern w:val="0"/>
                <w:szCs w:val="21"/>
                <w:lang w:val="en-US" w:eastAsia="zh-CN"/>
              </w:rPr>
            </w:pPr>
            <w:r>
              <w:rPr>
                <w:rFonts w:hint="eastAsia"/>
                <w:kern w:val="0"/>
                <w:szCs w:val="21"/>
                <w:lang w:val="en-US" w:eastAsia="zh-CN"/>
              </w:rPr>
              <w:t>积极探索改进新型实验技术，用绿色环保、低风险的实验方案与器材替代具有较大危险因素的实验方案与器材，用微型设备与低剂量实验减少实验排放与污染。</w:t>
            </w:r>
          </w:p>
          <w:p>
            <w:pPr>
              <w:widowControl/>
              <w:spacing w:line="300" w:lineRule="exact"/>
              <w:jc w:val="left"/>
              <w:rPr>
                <w:rFonts w:hint="eastAsia"/>
                <w:kern w:val="0"/>
                <w:szCs w:val="21"/>
                <w:lang w:val="en-US" w:eastAsia="zh-CN"/>
              </w:rPr>
            </w:pPr>
            <w:r>
              <w:rPr>
                <w:rFonts w:hint="eastAsia"/>
                <w:kern w:val="0"/>
                <w:szCs w:val="21"/>
                <w:lang w:val="en-US" w:eastAsia="zh-CN"/>
              </w:rPr>
              <w:t>在实验室外开展实验活动，要进行风险评估。</w:t>
            </w:r>
          </w:p>
          <w:p>
            <w:pPr>
              <w:widowControl/>
              <w:spacing w:line="300" w:lineRule="exact"/>
              <w:jc w:val="left"/>
              <w:rPr>
                <w:rFonts w:hint="eastAsia"/>
                <w:kern w:val="0"/>
                <w:szCs w:val="21"/>
                <w:lang w:val="en-US" w:eastAsia="zh-CN"/>
              </w:rPr>
            </w:pPr>
            <w:r>
              <w:rPr>
                <w:rFonts w:hint="eastAsia"/>
                <w:kern w:val="0"/>
                <w:szCs w:val="21"/>
                <w:lang w:val="en-US" w:eastAsia="zh-CN"/>
              </w:rPr>
              <w:t>若发现事故隐患或出现安全事故，应立即停止实验、采取应急举措并及时向相关部门报备</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kern w:val="0"/>
                <w:szCs w:val="21"/>
                <w:lang w:val="en-US" w:eastAsia="zh-CN"/>
              </w:rPr>
            </w:pPr>
          </w:p>
        </w:tc>
      </w:tr>
      <w:tr>
        <w:tblPrEx>
          <w:tblCellMar>
            <w:top w:w="0" w:type="dxa"/>
            <w:left w:w="108" w:type="dxa"/>
            <w:bottom w:w="0" w:type="dxa"/>
            <w:right w:w="108" w:type="dxa"/>
          </w:tblCellMar>
        </w:tblPrEx>
        <w:trPr>
          <w:trHeight w:val="1595" w:hRule="atLeast"/>
          <w:jc w:val="center"/>
        </w:trPr>
        <w:tc>
          <w:tcPr>
            <w:tcW w:w="583" w:type="pct"/>
            <w:vMerge w:val="restart"/>
            <w:tcMar>
              <w:left w:w="45" w:type="dxa"/>
              <w:right w:w="45" w:type="dxa"/>
            </w:tcMar>
            <w:vAlign w:val="center"/>
          </w:tcPr>
          <w:p>
            <w:pPr>
              <w:widowControl/>
              <w:spacing w:line="300" w:lineRule="exact"/>
              <w:jc w:val="center"/>
              <w:rPr>
                <w:rFonts w:hint="default" w:ascii="Times New Roman" w:hAnsi="Times New Roman" w:eastAsia="宋体" w:cs="Times New Roman"/>
                <w:b w:val="0"/>
                <w:bCs/>
                <w:kern w:val="0"/>
                <w:sz w:val="21"/>
                <w:szCs w:val="21"/>
                <w:lang w:val="en-US" w:eastAsia="zh-CN" w:bidi="ar-SA"/>
              </w:rPr>
            </w:pPr>
            <w:r>
              <w:rPr>
                <w:rFonts w:hint="eastAsia"/>
                <w:b/>
                <w:kern w:val="0"/>
                <w:szCs w:val="21"/>
                <w:lang w:val="en-US" w:eastAsia="zh-CN"/>
              </w:rPr>
              <w:t>4.保障措施</w:t>
            </w:r>
          </w:p>
        </w:tc>
        <w:tc>
          <w:tcPr>
            <w:tcW w:w="434" w:type="pct"/>
            <w:tcMar>
              <w:left w:w="45" w:type="dxa"/>
              <w:right w:w="45" w:type="dxa"/>
            </w:tcMar>
            <w:vAlign w:val="center"/>
          </w:tcPr>
          <w:p>
            <w:pPr>
              <w:widowControl/>
              <w:spacing w:line="300" w:lineRule="exact"/>
              <w:jc w:val="center"/>
              <w:rPr>
                <w:rFonts w:hint="default" w:ascii="Times New Roman" w:hAnsi="Times New Roman" w:eastAsia="宋体" w:cs="Times New Roman"/>
                <w:b w:val="0"/>
                <w:bCs/>
                <w:kern w:val="0"/>
                <w:sz w:val="21"/>
                <w:szCs w:val="21"/>
                <w:lang w:val="en-US" w:eastAsia="zh-CN" w:bidi="ar-SA"/>
              </w:rPr>
            </w:pPr>
            <w:r>
              <w:rPr>
                <w:rFonts w:hint="eastAsia"/>
                <w:b/>
                <w:kern w:val="0"/>
                <w:szCs w:val="21"/>
                <w:lang w:val="en-US" w:eastAsia="zh-CN"/>
              </w:rPr>
              <w:t>4.1定期自查</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bCs/>
                <w:kern w:val="0"/>
                <w:szCs w:val="21"/>
                <w:lang w:val="en-US" w:eastAsia="zh-CN"/>
              </w:rPr>
            </w:pPr>
            <w:r>
              <w:rPr>
                <w:rFonts w:hint="eastAsia"/>
                <w:bCs/>
                <w:kern w:val="0"/>
                <w:szCs w:val="21"/>
                <w:lang w:val="en-US" w:eastAsia="zh-CN"/>
              </w:rPr>
              <w:t>各地教育行政部门每年秋季学期开学前开展一次自查自纠工作，自查结果及时汇总上报上级教育行政部门。</w:t>
            </w:r>
          </w:p>
          <w:p>
            <w:pPr>
              <w:widowControl/>
              <w:spacing w:line="300" w:lineRule="exact"/>
              <w:jc w:val="left"/>
              <w:rPr>
                <w:rFonts w:hint="eastAsia"/>
                <w:bCs/>
                <w:kern w:val="0"/>
                <w:szCs w:val="21"/>
                <w:lang w:val="en-US" w:eastAsia="zh-CN"/>
              </w:rPr>
            </w:pPr>
            <w:r>
              <w:rPr>
                <w:rFonts w:hint="eastAsia"/>
                <w:bCs/>
                <w:kern w:val="0"/>
                <w:szCs w:val="21"/>
                <w:lang w:val="en-US" w:eastAsia="zh-CN"/>
              </w:rPr>
              <w:t>学校每学期进行不少于一次的安全检查，定期盘库，发现问题要及时整改并及时记录安全台账。</w:t>
            </w:r>
          </w:p>
          <w:p>
            <w:pPr>
              <w:widowControl/>
              <w:spacing w:line="300" w:lineRule="exact"/>
              <w:jc w:val="left"/>
              <w:rPr>
                <w:rFonts w:hint="eastAsia" w:ascii="Times New Roman" w:hAnsi="Times New Roman" w:eastAsia="宋体" w:cs="Times New Roman"/>
                <w:b/>
                <w:kern w:val="0"/>
                <w:sz w:val="21"/>
                <w:szCs w:val="21"/>
                <w:lang w:val="en-US" w:eastAsia="zh-CN" w:bidi="ar-SA"/>
              </w:rPr>
            </w:pPr>
            <w:r>
              <w:rPr>
                <w:rFonts w:hint="eastAsia"/>
                <w:bCs/>
                <w:kern w:val="0"/>
                <w:szCs w:val="21"/>
                <w:lang w:val="en-US" w:eastAsia="zh-CN"/>
              </w:rPr>
              <w:t>实验室管理员每月不少于一次安全检查，建立自检自查台账，并记录存档</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bCs/>
                <w:kern w:val="0"/>
                <w:szCs w:val="21"/>
                <w:lang w:val="en-US" w:eastAsia="zh-CN"/>
              </w:rPr>
            </w:pPr>
          </w:p>
        </w:tc>
      </w:tr>
      <w:tr>
        <w:tblPrEx>
          <w:tblCellMar>
            <w:top w:w="0" w:type="dxa"/>
            <w:left w:w="108" w:type="dxa"/>
            <w:bottom w:w="0" w:type="dxa"/>
            <w:right w:w="108" w:type="dxa"/>
          </w:tblCellMar>
        </w:tblPrEx>
        <w:trPr>
          <w:trHeight w:val="985" w:hRule="atLeast"/>
          <w:jc w:val="center"/>
        </w:trPr>
        <w:tc>
          <w:tcPr>
            <w:tcW w:w="583" w:type="pct"/>
            <w:vMerge w:val="continue"/>
            <w:tcMar>
              <w:left w:w="45" w:type="dxa"/>
              <w:right w:w="45" w:type="dxa"/>
            </w:tcMar>
            <w:vAlign w:val="center"/>
          </w:tcPr>
          <w:p>
            <w:pPr>
              <w:widowControl/>
              <w:spacing w:line="300" w:lineRule="exact"/>
              <w:jc w:val="left"/>
              <w:rPr>
                <w:rFonts w:hint="eastAsia"/>
                <w:b w:val="0"/>
                <w:bCs/>
                <w:kern w:val="0"/>
                <w:szCs w:val="21"/>
              </w:rPr>
            </w:pPr>
          </w:p>
        </w:tc>
        <w:tc>
          <w:tcPr>
            <w:tcW w:w="434" w:type="pct"/>
            <w:tcMar>
              <w:left w:w="45" w:type="dxa"/>
              <w:right w:w="45" w:type="dxa"/>
            </w:tcMar>
            <w:vAlign w:val="center"/>
          </w:tcPr>
          <w:p>
            <w:pPr>
              <w:widowControl/>
              <w:spacing w:line="300" w:lineRule="exact"/>
              <w:jc w:val="center"/>
              <w:rPr>
                <w:rFonts w:hint="default" w:eastAsia="宋体"/>
                <w:b w:val="0"/>
                <w:bCs/>
                <w:kern w:val="0"/>
                <w:szCs w:val="21"/>
                <w:lang w:val="en-US" w:eastAsia="zh-CN"/>
              </w:rPr>
            </w:pPr>
            <w:r>
              <w:rPr>
                <w:rFonts w:hint="eastAsia"/>
                <w:b/>
                <w:kern w:val="0"/>
                <w:szCs w:val="21"/>
                <w:lang w:val="en-US" w:eastAsia="zh-CN"/>
              </w:rPr>
              <w:t>4.2督导监管</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b w:val="0"/>
                <w:bCs/>
                <w:kern w:val="0"/>
                <w:szCs w:val="21"/>
                <w:lang w:eastAsia="zh-CN"/>
              </w:rPr>
            </w:pPr>
            <w:r>
              <w:rPr>
                <w:rFonts w:hint="eastAsia"/>
                <w:b w:val="0"/>
                <w:bCs/>
                <w:kern w:val="0"/>
                <w:szCs w:val="21"/>
              </w:rPr>
              <w:t>将实验室安全管理作为教育督导和日常监管的重要内容</w:t>
            </w:r>
            <w:r>
              <w:rPr>
                <w:rFonts w:hint="eastAsia"/>
                <w:b w:val="0"/>
                <w:bCs/>
                <w:kern w:val="0"/>
                <w:szCs w:val="21"/>
                <w:lang w:eastAsia="zh-CN"/>
              </w:rPr>
              <w:t>。</w:t>
            </w:r>
          </w:p>
          <w:p>
            <w:pPr>
              <w:widowControl/>
              <w:spacing w:line="300" w:lineRule="exact"/>
              <w:jc w:val="left"/>
              <w:rPr>
                <w:rFonts w:hint="eastAsia"/>
                <w:b w:val="0"/>
                <w:bCs/>
                <w:kern w:val="0"/>
                <w:szCs w:val="21"/>
                <w:lang w:eastAsia="zh-CN"/>
              </w:rPr>
            </w:pPr>
            <w:r>
              <w:rPr>
                <w:rFonts w:hint="eastAsia"/>
                <w:b w:val="0"/>
                <w:bCs/>
                <w:kern w:val="0"/>
                <w:szCs w:val="21"/>
              </w:rPr>
              <w:t>将实验室安全纳入年度考核范围</w:t>
            </w:r>
            <w:r>
              <w:rPr>
                <w:rFonts w:hint="eastAsia"/>
                <w:b w:val="0"/>
                <w:bCs/>
                <w:kern w:val="0"/>
                <w:szCs w:val="21"/>
                <w:lang w:eastAsia="zh-CN"/>
              </w:rPr>
              <w:t>。</w:t>
            </w:r>
          </w:p>
          <w:p>
            <w:pPr>
              <w:widowControl/>
              <w:spacing w:line="300" w:lineRule="exact"/>
              <w:jc w:val="left"/>
              <w:rPr>
                <w:rFonts w:hint="eastAsia"/>
                <w:b w:val="0"/>
                <w:bCs/>
                <w:kern w:val="0"/>
                <w:szCs w:val="21"/>
              </w:rPr>
            </w:pPr>
            <w:r>
              <w:rPr>
                <w:rFonts w:hint="eastAsia"/>
                <w:b w:val="0"/>
                <w:bCs/>
                <w:kern w:val="0"/>
                <w:szCs w:val="21"/>
              </w:rPr>
              <w:t>对安全管理工作做出突出贡献的部门及个人予以适当激励</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b w:val="0"/>
                <w:bCs/>
                <w:kern w:val="0"/>
                <w:szCs w:val="21"/>
              </w:rPr>
            </w:pPr>
          </w:p>
        </w:tc>
      </w:tr>
      <w:tr>
        <w:tblPrEx>
          <w:tblCellMar>
            <w:top w:w="0" w:type="dxa"/>
            <w:left w:w="108" w:type="dxa"/>
            <w:bottom w:w="0" w:type="dxa"/>
            <w:right w:w="108" w:type="dxa"/>
          </w:tblCellMar>
        </w:tblPrEx>
        <w:trPr>
          <w:trHeight w:val="1315" w:hRule="atLeast"/>
          <w:jc w:val="center"/>
        </w:trPr>
        <w:tc>
          <w:tcPr>
            <w:tcW w:w="583" w:type="pct"/>
            <w:vMerge w:val="continue"/>
            <w:tcMar>
              <w:left w:w="45" w:type="dxa"/>
              <w:right w:w="45" w:type="dxa"/>
            </w:tcMar>
            <w:vAlign w:val="center"/>
          </w:tcPr>
          <w:p>
            <w:pPr>
              <w:widowControl/>
              <w:spacing w:line="300" w:lineRule="exact"/>
              <w:jc w:val="left"/>
              <w:rPr>
                <w:rFonts w:hint="eastAsia"/>
                <w:b w:val="0"/>
                <w:bCs/>
                <w:kern w:val="0"/>
                <w:szCs w:val="21"/>
              </w:rPr>
            </w:pPr>
          </w:p>
        </w:tc>
        <w:tc>
          <w:tcPr>
            <w:tcW w:w="434" w:type="pct"/>
            <w:tcMar>
              <w:left w:w="45" w:type="dxa"/>
              <w:right w:w="45" w:type="dxa"/>
            </w:tcMar>
            <w:vAlign w:val="center"/>
          </w:tcPr>
          <w:p>
            <w:pPr>
              <w:widowControl/>
              <w:spacing w:line="300" w:lineRule="exact"/>
              <w:jc w:val="center"/>
              <w:rPr>
                <w:rFonts w:hint="default" w:ascii="Times New Roman" w:hAnsi="Times New Roman" w:eastAsia="宋体" w:cs="Times New Roman"/>
                <w:b w:val="0"/>
                <w:bCs/>
                <w:kern w:val="0"/>
                <w:sz w:val="21"/>
                <w:szCs w:val="21"/>
                <w:lang w:val="en-US" w:eastAsia="zh-CN" w:bidi="ar-SA"/>
              </w:rPr>
            </w:pPr>
            <w:r>
              <w:rPr>
                <w:rFonts w:hint="eastAsia"/>
                <w:b/>
                <w:kern w:val="0"/>
                <w:szCs w:val="21"/>
                <w:lang w:val="en-US" w:eastAsia="zh-CN"/>
              </w:rPr>
              <w:t>4.3及时整改</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b w:val="0"/>
                <w:bCs/>
                <w:kern w:val="0"/>
                <w:szCs w:val="21"/>
                <w:lang w:eastAsia="zh-CN"/>
              </w:rPr>
            </w:pPr>
            <w:r>
              <w:rPr>
                <w:rFonts w:hint="eastAsia"/>
                <w:b w:val="0"/>
                <w:bCs/>
                <w:kern w:val="0"/>
                <w:szCs w:val="21"/>
              </w:rPr>
              <w:t>检查中发现的问题应以正式形式通知到相关负责人，整改通知书要包含问题描述、整改要求和期限等，并由相关责任人签收；对整改资料进行规范存档</w:t>
            </w:r>
            <w:r>
              <w:rPr>
                <w:rFonts w:hint="eastAsia"/>
                <w:b w:val="0"/>
                <w:bCs/>
                <w:kern w:val="0"/>
                <w:szCs w:val="21"/>
                <w:lang w:eastAsia="zh-CN"/>
              </w:rPr>
              <w:t>。</w:t>
            </w:r>
          </w:p>
          <w:p>
            <w:pPr>
              <w:widowControl/>
              <w:spacing w:line="300" w:lineRule="exact"/>
              <w:jc w:val="left"/>
              <w:rPr>
                <w:rFonts w:hint="eastAsia"/>
                <w:b w:val="0"/>
                <w:bCs/>
                <w:kern w:val="0"/>
                <w:szCs w:val="21"/>
                <w:lang w:val="en-US" w:eastAsia="zh-CN"/>
              </w:rPr>
            </w:pPr>
            <w:r>
              <w:rPr>
                <w:rFonts w:hint="eastAsia"/>
                <w:b w:val="0"/>
                <w:bCs/>
                <w:kern w:val="0"/>
                <w:szCs w:val="21"/>
              </w:rPr>
              <w:t>整改报告应在规定时间内提交学校管理部门，并归档；如存在重大隐患，实验室应立即停止实验活动，采取相应防范措施或整改完成后方能恢复实验</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b w:val="0"/>
                <w:bCs/>
                <w:kern w:val="0"/>
                <w:szCs w:val="21"/>
              </w:rPr>
            </w:pPr>
          </w:p>
        </w:tc>
      </w:tr>
      <w:tr>
        <w:tblPrEx>
          <w:tblCellMar>
            <w:top w:w="0" w:type="dxa"/>
            <w:left w:w="108" w:type="dxa"/>
            <w:bottom w:w="0" w:type="dxa"/>
            <w:right w:w="108" w:type="dxa"/>
          </w:tblCellMar>
        </w:tblPrEx>
        <w:trPr>
          <w:trHeight w:val="595" w:hRule="atLeast"/>
          <w:jc w:val="center"/>
        </w:trPr>
        <w:tc>
          <w:tcPr>
            <w:tcW w:w="583" w:type="pct"/>
            <w:vMerge w:val="continue"/>
            <w:tcMar>
              <w:left w:w="45" w:type="dxa"/>
              <w:right w:w="45" w:type="dxa"/>
            </w:tcMar>
            <w:vAlign w:val="center"/>
          </w:tcPr>
          <w:p>
            <w:pPr>
              <w:widowControl/>
              <w:spacing w:line="300" w:lineRule="exact"/>
              <w:jc w:val="left"/>
            </w:pPr>
          </w:p>
        </w:tc>
        <w:tc>
          <w:tcPr>
            <w:tcW w:w="434" w:type="pct"/>
            <w:tcMar>
              <w:left w:w="45" w:type="dxa"/>
              <w:right w:w="45" w:type="dxa"/>
            </w:tcMar>
            <w:vAlign w:val="center"/>
          </w:tcPr>
          <w:p>
            <w:pPr>
              <w:widowControl/>
              <w:spacing w:line="300" w:lineRule="exact"/>
              <w:jc w:val="center"/>
              <w:rPr>
                <w:rFonts w:hint="eastAsia"/>
                <w:b/>
                <w:kern w:val="0"/>
                <w:szCs w:val="21"/>
                <w:lang w:val="en-US" w:eastAsia="zh-CN"/>
              </w:rPr>
            </w:pPr>
            <w:r>
              <w:rPr>
                <w:rFonts w:hint="eastAsia"/>
                <w:b/>
                <w:kern w:val="0"/>
                <w:szCs w:val="21"/>
                <w:lang w:val="en-US" w:eastAsia="zh-CN"/>
              </w:rPr>
              <w:t>4.4经费投入</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b w:val="0"/>
                <w:bCs/>
                <w:kern w:val="0"/>
                <w:szCs w:val="21"/>
                <w:lang w:val="en-US" w:eastAsia="zh-CN"/>
              </w:rPr>
            </w:pPr>
            <w:r>
              <w:rPr>
                <w:rFonts w:hint="eastAsia"/>
                <w:b w:val="0"/>
                <w:bCs/>
                <w:kern w:val="0"/>
                <w:szCs w:val="21"/>
                <w:lang w:val="en-US" w:eastAsia="zh-CN"/>
              </w:rPr>
              <w:t>每年实验室安全工作经费能够保障</w:t>
            </w:r>
          </w:p>
        </w:tc>
        <w:tc>
          <w:tcPr>
            <w:tcW w:w="1991" w:type="pct"/>
            <w:tcBorders>
              <w:right w:val="single" w:color="000000" w:sz="4" w:space="0"/>
            </w:tcBorders>
            <w:tcMar>
              <w:left w:w="45" w:type="dxa"/>
              <w:right w:w="45" w:type="dxa"/>
            </w:tcMar>
            <w:vAlign w:val="center"/>
          </w:tcPr>
          <w:p>
            <w:pPr>
              <w:widowControl/>
              <w:spacing w:line="300" w:lineRule="exact"/>
              <w:jc w:val="left"/>
              <w:rPr>
                <w:rFonts w:hint="eastAsia"/>
                <w:b w:val="0"/>
                <w:bCs/>
                <w:kern w:val="0"/>
                <w:szCs w:val="21"/>
                <w:lang w:val="en-US" w:eastAsia="zh-CN"/>
              </w:rPr>
            </w:pPr>
          </w:p>
        </w:tc>
      </w:tr>
    </w:tbl>
    <w:p>
      <w:pPr>
        <w:adjustRightInd w:val="0"/>
        <w:snapToGrid w:val="0"/>
        <w:spacing w:before="156" w:beforeLines="50"/>
        <w:jc w:val="left"/>
      </w:pPr>
    </w:p>
    <w:p>
      <w:pPr>
        <w:spacing w:line="360" w:lineRule="auto"/>
        <w:ind w:firstLine="5520" w:firstLineChars="2300"/>
        <w:jc w:val="both"/>
        <w:rPr>
          <w:rFonts w:hint="eastAsia" w:asciiTheme="minorEastAsia" w:hAnsiTheme="minorEastAsia" w:eastAsiaTheme="minorEastAsia" w:cstheme="minorEastAsia"/>
          <w:sz w:val="24"/>
          <w:szCs w:val="24"/>
        </w:rPr>
      </w:pPr>
    </w:p>
    <w:sectPr>
      <w:headerReference r:id="rId6" w:type="default"/>
      <w:footerReference r:id="rId7" w:type="default"/>
      <w:pgSz w:w="16838" w:h="11906" w:orient="landscape"/>
      <w:pgMar w:top="1077" w:right="1418" w:bottom="964" w:left="1588" w:header="851" w:footer="850" w:gutter="0"/>
      <w:pgNumType w:start="1"/>
      <w:cols w:space="720"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
    <w:altName w:val="微软雅黑"/>
    <w:panose1 w:val="02010609060101010101"/>
    <w:charset w:val="86"/>
    <w:family w:val="auto"/>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ºÚÌå">
    <w:altName w:val="DejaVu Math TeX Gyre"/>
    <w:panose1 w:val="00000000000000000000"/>
    <w:charset w:val="00"/>
    <w:family w:val="modern"/>
    <w:pitch w:val="default"/>
    <w:sig w:usb0="00000000" w:usb1="00000000" w:usb2="00000000" w:usb3="00000000" w:csb0="00000001"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8"/>
        <w:szCs w:val="28"/>
      </w:rPr>
    </w:pPr>
    <w:r>
      <w:rPr>
        <w:rFonts w:hint="eastAsia"/>
        <w:sz w:val="28"/>
        <w:szCs w:val="28"/>
        <w:lang w:eastAsia="zh-CN"/>
      </w:rPr>
      <w:t>—</w:t>
    </w:r>
    <w:r>
      <w:rPr>
        <w:rFonts w:hint="eastAsia"/>
        <w:sz w:val="28"/>
        <w:szCs w:val="28"/>
        <w:lang w:val="en-US" w:eastAsia="zh-CN"/>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19</w:t>
    </w:r>
    <w:r>
      <w:rPr>
        <w:sz w:val="28"/>
        <w:szCs w:val="28"/>
      </w:rPr>
      <w:fldChar w:fldCharType="end"/>
    </w:r>
    <w:r>
      <w:rPr>
        <w:rFonts w:hint="eastAsia"/>
        <w:sz w:val="28"/>
        <w:szCs w:val="28"/>
        <w:lang w:val="en-US" w:eastAsia="zh-CN"/>
      </w:rPr>
      <w:t xml:space="preserve"> </w:t>
    </w:r>
    <w:r>
      <w:rPr>
        <w:rFonts w:hint="eastAsia"/>
        <w:sz w:val="28"/>
        <w:szCs w:val="28"/>
        <w:lang w:eastAsia="zh-CN"/>
      </w:rPr>
      <w:t>—</w:t>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347853D2"/>
    <w:rsid w:val="3F3B8A24"/>
    <w:rsid w:val="6C3E0314"/>
    <w:rsid w:val="7936E700"/>
    <w:rsid w:val="E3B2BF98"/>
    <w:rsid w:val="FFD1AA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9"/>
      <w:szCs w:val="29"/>
      <w:lang w:val="en-US" w:eastAsia="en-US" w:bidi="ar-SA"/>
    </w:rPr>
  </w:style>
  <w:style w:type="paragraph" w:styleId="3">
    <w:name w:val="footer"/>
    <w:basedOn w:val="1"/>
    <w:qFormat/>
    <w:uiPriority w:val="99"/>
    <w:pPr>
      <w:tabs>
        <w:tab w:val="center" w:pos="4153"/>
        <w:tab w:val="right" w:pos="8306"/>
      </w:tabs>
      <w:snapToGrid w:val="0"/>
      <w:jc w:val="left"/>
    </w:pPr>
    <w:rPr>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1900</Words>
  <Characters>1920</Characters>
  <TotalTime>5</TotalTime>
  <ScaleCrop>false</ScaleCrop>
  <LinksUpToDate>false</LinksUpToDate>
  <CharactersWithSpaces>1999</CharactersWithSpaces>
  <Application>WPS Office_11.8.2.10552_F1E327BC-269C-435d-A152-05C5408002CA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2025-02-25T17:14:00Z</dcterms:created>
  <dc:creator>Kingsoft-PDF</dc:creator>
  <cp:lastModifiedBy>ankang</cp:lastModifiedBy>
  <dcterms:modified xsi:type="dcterms:W3CDTF">2025-02-25T09:21:38Z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2025-02-24T17:14:37Z</vt:filetime>
  </property>
  <property fmtid="{D5CDD505-2E9C-101B-9397-08002B2CF9AE}" pid="4" name="UsrData">
    <vt:lpwstr>67bc387a182be6001f09f8c0wl</vt:lpwstr>
  </property>
  <property fmtid="{D5CDD505-2E9C-101B-9397-08002B2CF9AE}" pid="5" name="KSOTemplateDocerSaveRecord">
    <vt:lpwstr>eyJoZGlkIjoiMjg5NzQ3YjExM2FlN2EyMmQ0MWE1ZWZiMDkzYzUxM2QiLCJ1c2VySWQiOiI0NjU4NjUyNzMifQ==</vt:lpwstr>
  </property>
  <property fmtid="{D5CDD505-2E9C-101B-9397-08002B2CF9AE}" pid="6" name="KSOProductBuildVer">
    <vt:lpwstr>2052-11.8.2.10552</vt:lpwstr>
  </property>
  <property fmtid="{D5CDD505-2E9C-101B-9397-08002B2CF9AE}" pid="7" name="ICV">
    <vt:lpwstr>7FB24504C9134111B9EDE71BDB0EF139_12</vt:lpwstr>
  </property>
</Properties>
</file>